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517793378"/>
      <w:r/>
      <w:bookmarkStart w:id="5" w:name="_Toc471818670"/>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88"/>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089"/>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089"/>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eastAsia="宋体" w:cs="Times New Roman"/>
        </w:rPr>
      </w:pPr>
      <w:r>
        <w:rPr>
          <w:rFonts w:hint="eastAsia"/>
        </w:rPr>
        <w:t xml:space="preserve">项目名称：</w:t>
      </w:r>
      <w:r>
        <w:rPr>
          <w:rFonts w:hint="eastAsia" w:eastAsia="宋体" w:cs="Times New Roman"/>
          <w:lang w:eastAsia="zh-CN"/>
        </w:rPr>
        <w:t xml:space="preserve">常州市金坛第一人民医院医共体云药房项目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rPr>
        <w:t xml:space="preserve">项目编号：</w:t>
      </w:r>
      <w:r>
        <w:rPr>
          <w:rFonts w:hint="eastAsia" w:eastAsia="宋体" w:cs="Times New Roman"/>
          <w:lang w:eastAsia="zh-CN"/>
        </w:rPr>
        <w:t xml:space="preserve">JSZC-320413-JZCG-G2026-00</w:t>
      </w:r>
      <w:r>
        <w:rPr>
          <w:rFonts w:hint="eastAsia" w:cs="Times New Roman"/>
          <w:lang w:val="en-US" w:eastAsia="zh-CN"/>
        </w:rPr>
        <w:t xml:space="preserve">15</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eastAsia="宋体" w:cs="Times New Roman"/>
          <w:lang w:eastAsia="zh-CN"/>
        </w:rPr>
        <w:t xml:space="preserve">常州市金坛第一人民医院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088"/>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35"/>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35"/>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35"/>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35"/>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35"/>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35"/>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35"/>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35"/>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35"/>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16555"/>
      <w:r/>
      <w:bookmarkStart w:id="9" w:name="_Toc5725"/>
      <w:r/>
      <w:bookmarkStart w:id="10" w:name="_Toc16103"/>
      <w:r/>
      <w:bookmarkStart w:id="11" w:name="_Toc3337"/>
      <w:r/>
      <w:bookmarkStart w:id="12" w:name="_Toc548"/>
      <w:r/>
      <w:bookmarkStart w:id="13" w:name="_Toc20084"/>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89"/>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090"/>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w:t>
      </w:r>
      <w:r>
        <w:rPr>
          <w:rFonts w:hint="eastAsia" w:ascii="宋体" w:hAnsi="宋体" w:cs="宋体"/>
          <w:b/>
          <w:bCs/>
          <w:color w:val="1d41d5"/>
          <w:spacing w:val="8"/>
          <w:sz w:val="28"/>
          <w:szCs w:val="28"/>
          <w:u w:val="single"/>
          <w:lang w:val="en-US" w:eastAsia="zh-CN"/>
        </w:rPr>
        <w:t xml:space="preserve">15</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常州市金坛第一人民医院医共体云药房项目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95万元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90万元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093"/>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53"/>
        <w:gridCol w:w="918"/>
        <w:gridCol w:w="800"/>
        <w:gridCol w:w="3654"/>
        <w:gridCol w:w="815"/>
      </w:tblGrid>
      <w:tr>
        <w:trPr>
          <w:trHeight w:val="454"/>
        </w:trPr>
        <w:tc>
          <w:tcPr>
            <w:tcW w:w="3353"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1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35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themeColor="text1"/>
                <w:sz w:val="28"/>
                <w:szCs w:val="28"/>
                <w:u w:val="none"/>
                <w:lang w:val="en-US" w:eastAsia="zh-CN"/>
                <w14:textFill>
                  <w14:solidFill>
                    <w14:schemeClr w14:val="tx1"/>
                  </w14:solidFill>
                </w14:textFill>
              </w:rPr>
              <w:suppressLineNumbers w:val="0"/>
            </w:pPr>
            <w:r>
              <w:rPr>
                <w:rFonts w:hint="eastAsia" w:ascii="宋体" w:hAnsi="宋体" w:eastAsia="宋体" w:cs="宋体"/>
                <w:b w:val="0"/>
                <w:bCs/>
                <w:sz w:val="28"/>
                <w:szCs w:val="28"/>
                <w:lang w:eastAsia="zh-CN"/>
              </w:rPr>
              <w:t xml:space="preserve">常州市金坛第一人民医院医共体云药房项目</w:t>
            </w:r>
            <w:r/>
          </w:p>
        </w:tc>
        <w:tc>
          <w:tcPr>
            <w:tcW w:w="91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本项目建设周期预计为9个月，其中包含试运行3个月，并在评估验收通过采购人需求后交付该功能。</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090"/>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90"/>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090"/>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35393794"/>
      <w:r/>
      <w:bookmarkStart w:id="17" w:name="_Toc28359084"/>
      <w:r/>
      <w:bookmarkStart w:id="18" w:name="_Toc35393625"/>
      <w:r/>
      <w:bookmarkStart w:id="19" w:name="_Toc28359007"/>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11</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090"/>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090"/>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90"/>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常州市金坛第一人民医院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刘先生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0519-82885505</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常州市金坛区金坛大道500号</w:t>
      </w:r>
      <w:r>
        <w:rPr>
          <w:rFonts w:hint="eastAsia" w:ascii="宋体" w:hAnsi="宋体" w:eastAsia="宋体" w:cs="宋体"/>
          <w:color w:val="333333"/>
          <w:spacing w:val="8"/>
          <w:sz w:val="28"/>
          <w:szCs w:val="28"/>
        </w:rPr>
        <w:t xml:space="preserve"> </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left="0"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15"/>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15"/>
          <w:rFonts w:hint="eastAsia" w:ascii="宋体" w:hAnsi="宋体" w:eastAsia="宋体" w:cs="宋体"/>
          <w:sz w:val="28"/>
          <w:szCs w:val="28"/>
        </w:rPr>
      </w:pPr>
      <w:r/>
      <w:bookmarkStart w:id="21" w:name="_Toc2993"/>
      <w:r/>
      <w:bookmarkStart w:id="22" w:name="_Toc7653"/>
      <w:r/>
      <w:bookmarkStart w:id="23" w:name="_Toc11125"/>
      <w:r/>
      <w:bookmarkStart w:id="24" w:name="_Toc16227"/>
      <w:r/>
      <w:bookmarkStart w:id="25" w:name="_Toc29535"/>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pStyle w:val="1089"/>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Style w:val="1115"/>
          <w:rFonts w:hint="eastAsia" w:ascii="宋体" w:hAnsi="宋体" w:eastAsia="宋体" w:cs="宋体"/>
          <w:sz w:val="28"/>
          <w:szCs w:val="28"/>
        </w:rPr>
      </w:r>
      <w:r>
        <w:rPr>
          <w:rStyle w:val="1115"/>
          <w:rFonts w:hint="eastAsia" w:ascii="宋体" w:hAnsi="宋体" w:eastAsia="宋体" w:cs="宋体"/>
          <w:sz w:val="28"/>
          <w:szCs w:val="28"/>
        </w:rPr>
      </w:r>
      <w:r/>
    </w:p>
    <w:p>
      <w:pPr>
        <w:ind w:firstLine="3092"/>
        <w:jc w:val="left"/>
        <w:tabs>
          <w:tab w:val="left" w:pos="7924" w:leader="none"/>
        </w:tabs>
        <w:rPr>
          <w:rStyle w:val="1115"/>
          <w:rFonts w:hint="eastAsia" w:ascii="宋体" w:hAnsi="宋体" w:eastAsia="宋体" w:cs="宋体"/>
          <w:sz w:val="28"/>
          <w:szCs w:val="28"/>
        </w:rPr>
      </w:pPr>
      <w:r>
        <w:rPr>
          <w:rFonts w:hint="eastAsia" w:ascii="宋体" w:hAnsi="宋体" w:eastAsia="宋体" w:cs="宋体"/>
          <w:sz w:val="28"/>
          <w:szCs w:val="28"/>
        </w:rPr>
      </w:r>
      <w:r/>
    </w:p>
    <w:p>
      <w:pPr>
        <w:pStyle w:val="1090"/>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093"/>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val="0"/>
                <w:bCs w:val="0"/>
                <w:color w:val="1d41d5"/>
                <w:spacing w:val="8"/>
                <w:sz w:val="28"/>
                <w:szCs w:val="28"/>
                <w:u w:val="single"/>
                <w:lang w:val="zh-TW" w:eastAsia="zh-CN"/>
              </w:rPr>
              <w:t xml:space="preserve">常州市金坛第一人民医院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eastAsia="宋体" w:cs="宋体"/>
                <w:b/>
                <w:bCs/>
                <w:color w:val="1d41d5"/>
                <w:spacing w:val="8"/>
                <w:sz w:val="28"/>
                <w:szCs w:val="28"/>
                <w:u w:val="single"/>
                <w:lang w:val="zh-TW" w:eastAsia="zh-CN"/>
              </w:rPr>
              <w:t xml:space="preserve">90</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ind w:firstLine="0"/>
              <w:keepLines w:val="0"/>
              <w:keepNext w:val="0"/>
              <w:pageBreakBefore w:val="0"/>
              <w:spacing w:line="360" w:lineRule="exact"/>
              <w:shd w:val="clear" w:color="auto" w:fill="ffffff"/>
              <w:widowControl/>
              <w:rPr>
                <w:rFonts w:hint="eastAsia" w:ascii="宋体" w:hAnsi="宋体" w:eastAsia="宋体" w:cs="宋体"/>
                <w:color w:val="333333"/>
                <w:spacing w:val="8"/>
                <w:szCs w:val="28"/>
                <w:lang w:val="en-US" w:eastAsia="zh-CN"/>
              </w:rPr>
            </w:pPr>
            <w:r>
              <w:rPr>
                <w:rFonts w:hint="eastAsia" w:ascii="宋体" w:hAnsi="宋体" w:eastAsia="宋体" w:cs="宋体"/>
                <w:color w:val="333333"/>
                <w:spacing w:val="8"/>
                <w:szCs w:val="28"/>
                <w:lang w:val="en-US" w:eastAsia="zh-CN"/>
              </w:rPr>
              <w:t xml:space="preserve">10.1</w:t>
            </w:r>
            <w:r>
              <w:rPr>
                <w:rFonts w:hint="eastAsia" w:ascii="宋体" w:hAnsi="宋体" w:eastAsia="宋体" w:cs="宋体"/>
                <w:color w:val="333333"/>
                <w:spacing w:val="8"/>
                <w:szCs w:val="28"/>
              </w:rPr>
              <w:t xml:space="preserve">报价符合性审查</w:t>
            </w:r>
            <w:r>
              <w:rPr>
                <w:rFonts w:hint="eastAsia" w:ascii="宋体" w:hAnsi="宋体" w:eastAsia="宋体" w:cs="宋体"/>
                <w:color w:val="333333"/>
                <w:spacing w:val="8"/>
                <w:szCs w:val="28"/>
                <w:lang w:eastAsia="zh-CN"/>
              </w:rPr>
              <w:t xml:space="preserve">（</w:t>
            </w:r>
            <w:r>
              <w:rPr>
                <w:rFonts w:hint="eastAsia" w:ascii="宋体" w:hAnsi="宋体" w:eastAsia="宋体" w:cs="宋体"/>
                <w:color w:val="333333"/>
                <w:spacing w:val="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Cs w:val="28"/>
                <w:lang w:eastAsia="zh-CN"/>
              </w:rPr>
              <w:t xml:space="preserve">）</w:t>
            </w:r>
            <w:r/>
          </w:p>
          <w:p>
            <w:pPr>
              <w:ind w:firstLine="0"/>
              <w:keepLines w:val="0"/>
              <w:keepNext w:val="0"/>
              <w:pageBreakBefore w:val="0"/>
              <w:spacing w:line="360" w:lineRule="exact"/>
              <w:shd w:val="clear" w:color="auto" w:fill="ffffff"/>
              <w:widowControl/>
              <w:rPr>
                <w:rFonts w:ascii="宋体" w:hAnsi="宋体" w:eastAsia="宋体" w:cs="宋体"/>
                <w:color w:val="333333"/>
                <w:spacing w:val="8"/>
                <w:szCs w:val="28"/>
                <w:lang w:val="zh-TW"/>
              </w:rPr>
            </w:pPr>
            <w:r>
              <w:rPr>
                <w:rFonts w:hint="eastAsia" w:ascii="宋体" w:hAnsi="宋体" w:eastAsia="宋体" w:cs="宋体"/>
                <w:color w:val="333333"/>
                <w:spacing w:val="8"/>
                <w:szCs w:val="28"/>
                <w:lang w:val="en-US" w:eastAsia="zh-CN"/>
              </w:rPr>
              <w:t xml:space="preserve">10.2</w:t>
            </w:r>
            <w:r>
              <w:rPr>
                <w:rFonts w:hint="eastAsia" w:ascii="宋体" w:hAnsi="宋体" w:eastAsia="宋体" w:cs="宋体"/>
                <w:color w:val="333333"/>
                <w:spacing w:val="8"/>
                <w:szCs w:val="28"/>
                <w:lang w:val="zh-TW"/>
              </w:rPr>
              <w:t xml:space="preserve">与评审相关的其他符合证明文件材料。</w:t>
            </w:r>
            <w:r/>
          </w:p>
          <w:p>
            <w:pPr>
              <w:numPr>
                <w:ilvl w:val="0"/>
                <w:numId w:val="0"/>
              </w:numPr>
              <w:ind w:left="0" w:right="0"/>
              <w:keepLines w:val="0"/>
              <w:keepNext w:val="0"/>
              <w:pageBreakBefore w:val="0"/>
              <w:spacing w:before="0" w:beforeAutospacing="0" w:after="0" w:afterAutospacing="0" w:line="36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pStyle w:val="1090"/>
              <w:ind w:left="0" w:firstLine="0"/>
              <w:jc w:val="both"/>
              <w:keepLines/>
              <w:keepNext/>
              <w:pageBreakBefore w:val="0"/>
              <w:spacing w:line="360" w:lineRule="exact"/>
              <w:widowControl w:val="off"/>
              <w:rPr>
                <w:rFonts w:hint="default"/>
                <w:lang w:val="en-US" w:eastAsia="zh-CN"/>
              </w:rPr>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27</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5</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27</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0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0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07"/>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0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41"/>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4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090"/>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90"/>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90"/>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90"/>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16.3.1不同投标人的投标文件由同一单位或者个人编制（包含使用同一MAC地址的计算机制作电子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16.3.2不同投标人委托同一单位或者个人办理投标事宜（包含使用同一MAC地址的计算机提交或者解密电子</w:t>
      </w:r>
      <w:r>
        <w:rPr>
          <w:rFonts w:hint="eastAsia" w:ascii="宋体" w:hAnsi="宋体" w:cs="宋体"/>
          <w:b/>
          <w:bCs/>
          <w:color w:val="ff0000"/>
          <w:sz w:val="28"/>
          <w:szCs w:val="28"/>
          <w:highlight w:val="yellow"/>
          <w:lang w:val="en-US" w:eastAsia="zh-CN"/>
        </w:rPr>
        <w:t xml:space="preserve">投标文件</w:t>
      </w:r>
      <w:r>
        <w:rPr>
          <w:rFonts w:hint="eastAsia" w:ascii="宋体" w:hAnsi="宋体" w:eastAsia="宋体" w:cs="宋体"/>
          <w:b/>
          <w:bCs/>
          <w:color w:val="ff0000"/>
          <w:sz w:val="28"/>
          <w:szCs w:val="28"/>
          <w:highlight w:val="yellow"/>
          <w:lang w:val="en-US" w:eastAsia="zh-CN"/>
        </w:rPr>
        <w:t xml:space="preserve">的情形）；</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90"/>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090"/>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rPr>
          <w:rFonts w:hint="eastAsia" w:ascii="宋体" w:hAnsi="宋体" w:eastAsia="宋体" w:cs="宋体"/>
          <w:sz w:val="28"/>
          <w:szCs w:val="28"/>
          <w:lang w:val="en-US" w:eastAsia="zh-CN"/>
        </w:rPr>
      </w:r>
      <w:r/>
    </w:p>
    <w:p>
      <w:pPr>
        <w:ind w:left="0" w:firstLine="3935"/>
        <w:jc w:val="both"/>
        <w:keepLines w:val="0"/>
        <w:keepNext w:val="0"/>
        <w:pageBreakBefore w:val="0"/>
        <w:spacing w:line="360" w:lineRule="auto"/>
        <w:widowControl w:val="off"/>
        <w:rPr>
          <w:rStyle w:val="1116"/>
          <w:rFonts w:hint="eastAsia"/>
          <w:lang w:val="en-US" w:eastAsia="zh-CN"/>
        </w:rPr>
        <w:outlineLvl w:val="9"/>
      </w:pPr>
      <w:r>
        <w:rPr>
          <w:rStyle w:val="1116"/>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9"/>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0"/>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090"/>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093"/>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7340"/>
      <w:r/>
      <w:bookmarkStart w:id="27" w:name="_Toc18937"/>
      <w:r/>
      <w:bookmarkStart w:id="28" w:name="_Toc19240"/>
      <w:r/>
      <w:bookmarkStart w:id="29" w:name="_Toc6649"/>
      <w:r/>
      <w:bookmarkStart w:id="30" w:name="_Toc15648"/>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89"/>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0"/>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090"/>
        <w:spacing w:line="240" w:lineRule="auto"/>
        <w:rPr>
          <w:rFonts w:hint="eastAsia"/>
          <w:lang w:val="en-US" w:eastAsia="zh-CN"/>
        </w:rPr>
      </w:pPr>
      <w:r>
        <w:rPr>
          <w:rFonts w:hint="eastAsia"/>
          <w:lang w:val="en-US" w:eastAsia="zh-CN"/>
        </w:rPr>
        <w:t xml:space="preserve">第二节  符合性审查要求</w:t>
      </w:r>
      <w:r/>
    </w:p>
    <w:tbl>
      <w:tblPr>
        <w:tblStyle w:val="1093"/>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754"/>
        <w:gridCol w:w="2186"/>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754"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18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10.1不同投标人的投标文件由同一单位或者个人编制（包含使用同一MAC地址的计算机制作电子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10.2不同投标人委托同一单位或者个人办理投标事宜（包含使用同一MAC地址的计算机提交或者解密电子</w:t>
            </w:r>
            <w:r>
              <w:rPr>
                <w:rFonts w:hint="eastAsia" w:ascii="宋体" w:hAnsi="宋体" w:cs="宋体"/>
                <w:sz w:val="28"/>
                <w:szCs w:val="28"/>
                <w:lang w:val="en-US" w:eastAsia="zh-CN"/>
              </w:rPr>
              <w:t xml:space="preserve">投标文件</w:t>
            </w:r>
            <w:r>
              <w:rPr>
                <w:rFonts w:hint="eastAsia" w:ascii="宋体" w:hAnsi="宋体" w:eastAsia="宋体" w:cs="宋体"/>
                <w:sz w:val="28"/>
                <w:szCs w:val="28"/>
                <w:lang w:val="en-US" w:eastAsia="zh-CN"/>
              </w:rPr>
              <w:t xml:space="preserve">的情形）；</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宋体" w:hAnsi="宋体" w:eastAsia="宋体" w:cs="宋体"/>
                <w:sz w:val="28"/>
                <w:szCs w:val="28"/>
                <w:lang w:val="en-US" w:eastAsia="zh-CN"/>
              </w:rPr>
            </w:pPr>
            <w:r>
              <w:rPr>
                <w:rFonts w:hint="eastAsia" w:ascii="宋体" w:hAnsi="宋体" w:cs="宋体"/>
                <w:szCs w:val="28"/>
                <w:lang w:val="en-US" w:eastAsia="zh-CN"/>
              </w:rPr>
              <w:t xml:space="preserve">14</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宋体" w:hAnsi="宋体" w:eastAsia="宋体" w:cs="宋体"/>
                <w:sz w:val="28"/>
                <w:szCs w:val="28"/>
                <w:lang w:val="en-US" w:eastAsia="zh-CN"/>
              </w:rPr>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5754"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186"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1090"/>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07"/>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7"/>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1090"/>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090"/>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1093"/>
        <w:tblW w:w="50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53"/>
        <w:gridCol w:w="1158"/>
        <w:gridCol w:w="4990"/>
        <w:gridCol w:w="825"/>
        <w:gridCol w:w="645"/>
        <w:gridCol w:w="760"/>
        <w:gridCol w:w="758"/>
      </w:tblGrid>
      <w:tr>
        <w:trPr>
          <w:trHeight w:val="420"/>
        </w:trPr>
        <w:tc>
          <w:tcPr>
            <w:tcW w:w="33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Mar>
              <w:left w:w="108" w:type="dxa"/>
              <w:top w:w="0" w:type="dxa"/>
              <w:right w:w="108" w:type="dxa"/>
              <w:bottom w:w="0" w:type="dxa"/>
            </w:tcMar>
            <w:tcW w:w="59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评分因素</w:t>
            </w:r>
            <w:r/>
          </w:p>
        </w:tc>
        <w:tc>
          <w:tcPr>
            <w:tcMar>
              <w:left w:w="108" w:type="dxa"/>
              <w:top w:w="0" w:type="dxa"/>
              <w:right w:w="108" w:type="dxa"/>
              <w:bottom w:w="0" w:type="dxa"/>
            </w:tcMar>
            <w:tcW w:w="254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评分标准和评审材料</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最低分值</w:t>
            </w:r>
            <w:r/>
          </w:p>
        </w:tc>
        <w:tc>
          <w:tcPr>
            <w:tcW w:w="329"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最高分值</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是否暗标评审</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是否客观分</w:t>
            </w:r>
            <w:r/>
          </w:p>
        </w:tc>
      </w:tr>
      <w:tr>
        <w:trPr>
          <w:trHeight w:val="482"/>
        </w:trPr>
        <w:tc>
          <w:tcPr>
            <w:tcW w:w="33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1</w:t>
            </w:r>
            <w:r/>
          </w:p>
        </w:tc>
        <w:tc>
          <w:tcPr>
            <w:tcMar>
              <w:left w:w="108" w:type="dxa"/>
              <w:top w:w="0" w:type="dxa"/>
              <w:right w:w="108" w:type="dxa"/>
              <w:bottom w:w="0" w:type="dxa"/>
            </w:tcMar>
            <w:tcW w:w="59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价格</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val="0"/>
                <w:bCs/>
                <w:sz w:val="28"/>
                <w:szCs w:val="28"/>
              </w:rPr>
              <w:outlineLvl w:val="9"/>
              <w:suppressLineNumbers w:val="0"/>
            </w:pPr>
            <w:r>
              <w:rPr>
                <w:rFonts w:hint="eastAsia" w:ascii="宋体" w:hAnsi="宋体" w:eastAsia="宋体" w:cs="宋体"/>
                <w:sz w:val="28"/>
                <w:szCs w:val="28"/>
                <w:lang w:val="en-US" w:eastAsia="zh-CN"/>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9"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15</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r>
            <w:r/>
          </w:p>
        </w:tc>
      </w:tr>
      <w:tr>
        <w:trPr>
          <w:trHeight w:val="482"/>
        </w:trPr>
        <w:tc>
          <w:tcPr>
            <w:tcW w:w="33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lang w:val="en-US" w:eastAsia="zh-CN"/>
              </w:rPr>
              <w:suppressLineNumbers w:val="0"/>
            </w:pPr>
            <w:r>
              <w:rPr>
                <w:rFonts w:hint="eastAsia" w:ascii="宋体" w:hAnsi="宋体" w:eastAsia="宋体" w:cs="宋体"/>
                <w:b/>
                <w:bCs w:val="0"/>
                <w:sz w:val="28"/>
                <w:szCs w:val="28"/>
                <w:lang w:val="en-US" w:eastAsia="zh-CN"/>
              </w:rPr>
              <w:t xml:space="preserve">2</w:t>
            </w:r>
            <w:r/>
          </w:p>
        </w:tc>
        <w:tc>
          <w:tcPr>
            <w:tcMar>
              <w:left w:w="108" w:type="dxa"/>
              <w:top w:w="0" w:type="dxa"/>
              <w:right w:w="108" w:type="dxa"/>
              <w:bottom w:w="0" w:type="dxa"/>
            </w:tcMar>
            <w:tcW w:w="591" w:type="pct"/>
            <w:vAlign w:val="center"/>
            <w:textDirection w:val="lrTb"/>
            <w:noWrap w:val="false"/>
          </w:tcPr>
          <w:p>
            <w:pPr>
              <w:ind w:left="0" w:right="0" w:firstLine="0"/>
              <w:jc w:val="left"/>
              <w:keepLines w:val="0"/>
              <w:keepNext w:val="0"/>
              <w:spacing w:before="0" w:beforeAutospacing="0" w:after="0" w:afterAutospacing="0"/>
              <w:rPr>
                <w:rFonts w:hint="eastAsia"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w:t>
            </w:r>
            <w:r/>
          </w:p>
        </w:tc>
        <w:tc>
          <w:tcPr>
            <w:tcMar>
              <w:left w:w="108" w:type="dxa"/>
              <w:top w:w="0" w:type="dxa"/>
              <w:right w:w="108" w:type="dxa"/>
              <w:bottom w:w="0" w:type="dxa"/>
            </w:tcMar>
            <w:tcW w:w="2547" w:type="pct"/>
            <w:vAlign w:val="center"/>
            <w:textDirection w:val="lrTb"/>
            <w:noWrap w:val="false"/>
          </w:tcPr>
          <w:p>
            <w:pPr>
              <w:ind w:left="0" w:right="0" w:firstLine="0"/>
              <w:jc w:val="left"/>
              <w:keepLines w:val="0"/>
              <w:keepNext w:val="0"/>
              <w:spacing w:before="0" w:beforeAutospacing="0" w:after="0" w:afterAutospacing="0"/>
              <w:rPr>
                <w:rFonts w:hint="default" w:eastAsia="宋体" w:cs="Times New Roman"/>
                <w:b/>
                <w:bCs/>
                <w:color w:val="ff0000"/>
                <w:highlight w:val="yellow"/>
                <w:lang w:val="en-US" w:eastAsia="zh-CN"/>
              </w:rPr>
              <w:suppressLineNumbers w:val="0"/>
            </w:pPr>
            <w:r>
              <w:rPr>
                <w:rFonts w:hint="eastAsia" w:eastAsia="宋体" w:cs="Times New Roman"/>
                <w:b/>
                <w:bCs/>
                <w:color w:val="ff0000"/>
                <w:highlight w:val="yellow"/>
                <w:lang w:val="en-US" w:eastAsia="zh-CN"/>
              </w:rPr>
              <w:t xml:space="preserve">技术部分（主观分）评分项属于暗标评审项目，编制要求详见注意事项。</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9"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40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2.1</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项目理解及需求分析</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（一）评分内容：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考察投标人对本项目的理解及需求分析，包含但不限于以下内容：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1.平台总体思路和建设；</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2.对医共体云药房平台业务需求理解；</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3.项目重难点问题分析。</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评审依据：</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zh-CN" w:eastAsia="zh-CN"/>
              </w:rPr>
              <w:t xml:space="preserve">考察以上内容</w:t>
            </w:r>
            <w:r>
              <w:rPr>
                <w:rFonts w:hint="eastAsia" w:ascii="宋体" w:hAnsi="宋体" w:eastAsia="宋体" w:cs="宋体"/>
                <w:sz w:val="28"/>
                <w:szCs w:val="28"/>
                <w:lang w:val="en-US" w:eastAsia="zh-CN"/>
              </w:rPr>
              <w:t xml:space="preserve">，满足上述任意一项内容的得20%，最高得60%；其他不得分。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（1）方案可行性强，阐述详实具体，评审加40%；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（2）方案可行性较强，阐述比较详实具体，评审加20%；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（3）方案可行性一般，阐述不够充分，评审加10%；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（4）方案可行性差或阐述不充分的，不加分。</w:t>
            </w:r>
            <w:r/>
          </w:p>
        </w:tc>
        <w:tc>
          <w:tcPr>
            <w:tcMar>
              <w:left w:w="108" w:type="dxa"/>
              <w:top w:w="0" w:type="dxa"/>
              <w:right w:w="108" w:type="dxa"/>
              <w:bottom w:w="0" w:type="dxa"/>
            </w:tcMar>
            <w:tcW w:w="42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0</w:t>
            </w:r>
            <w:r/>
          </w:p>
        </w:tc>
        <w:tc>
          <w:tcPr>
            <w:tcW w:w="329"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val="0"/>
                <w:sz w:val="28"/>
                <w:szCs w:val="28"/>
                <w:lang w:val="en-US" w:eastAsia="zh-CN"/>
              </w:rPr>
              <w:outlineLvl w:val="9"/>
              <w:suppressLineNumbers w:val="0"/>
            </w:pPr>
            <w:r>
              <w:rPr>
                <w:rFonts w:hint="eastAsia" w:ascii="宋体" w:hAnsi="宋体" w:cs="宋体"/>
                <w:b/>
                <w:bCs w:val="0"/>
                <w:sz w:val="28"/>
                <w:szCs w:val="28"/>
                <w:lang w:val="en-US" w:eastAsia="zh-CN"/>
              </w:rPr>
              <w:t xml:space="preserve">8</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2.2</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项目总体设计方案</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（一）评分内容：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考察投标人对项目的总体设计方案，包含但不限于以下内容：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1.应用架构；</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2.技术架构；</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3.数据架构；</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4.逻辑架构；</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5.安全架构等。</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zh-CN" w:eastAsia="zh-CN"/>
              </w:rPr>
              <w:t xml:space="preserve">考察以上内容</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val="zh-CN" w:eastAsia="zh-CN"/>
              </w:rPr>
              <w:t xml:space="preserve">满足上述</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val="zh-CN" w:eastAsia="zh-CN"/>
              </w:rPr>
              <w:t xml:space="preserve">项内容的得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lang w:val="zh-CN" w:eastAsia="zh-CN"/>
              </w:rPr>
              <w:t xml:space="preserve">%；满足上述任意</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zh-CN" w:eastAsia="zh-CN"/>
              </w:rPr>
              <w:t xml:space="preserve">项的得</w:t>
            </w: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val="zh-CN" w:eastAsia="zh-CN"/>
              </w:rPr>
              <w:t xml:space="preserve">0%；满足任意上述</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zh-CN" w:eastAsia="zh-CN"/>
              </w:rPr>
              <w:t xml:space="preserve">项的得</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zh-CN" w:eastAsia="zh-CN"/>
              </w:rPr>
              <w:t xml:space="preserve">0%；满足任意上述</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zh-CN" w:eastAsia="zh-CN"/>
              </w:rPr>
              <w:t xml:space="preserve">项的得</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zh-CN" w:eastAsia="zh-CN"/>
              </w:rPr>
              <w:t xml:space="preserve">0%；其他不得分。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（1）方案可行性强，阐述详实具体，评审加40%；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（2）方案可行性较强，阐述比较详实具体，评审加20%；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（3）方案可行性一般，阐述不够充分，评审加10%；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（4）方案可行性差或阐述不充分的，不加分。</w:t>
            </w:r>
            <w:r/>
          </w:p>
        </w:tc>
        <w:tc>
          <w:tcPr>
            <w:tcMar>
              <w:left w:w="108" w:type="dxa"/>
              <w:top w:w="0" w:type="dxa"/>
              <w:right w:w="108" w:type="dxa"/>
              <w:bottom w:w="0" w:type="dxa"/>
            </w:tcMar>
            <w:tcW w:w="42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0</w:t>
            </w:r>
            <w:r/>
          </w:p>
        </w:tc>
        <w:tc>
          <w:tcPr>
            <w:tcW w:w="329"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val="0"/>
                <w:sz w:val="28"/>
                <w:szCs w:val="28"/>
                <w:lang w:val="en-US" w:eastAsia="zh-CN"/>
              </w:rPr>
              <w:outlineLvl w:val="9"/>
              <w:suppressLineNumbers w:val="0"/>
            </w:pPr>
            <w:r>
              <w:rPr>
                <w:rFonts w:hint="eastAsia" w:ascii="宋体" w:hAnsi="宋体" w:cs="宋体"/>
                <w:b/>
                <w:bCs w:val="0"/>
                <w:sz w:val="28"/>
                <w:szCs w:val="28"/>
                <w:lang w:val="en-US" w:eastAsia="zh-CN"/>
              </w:rPr>
              <w:t xml:space="preserve">8</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2.3</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项目功能设计</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（一）评分内容：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考察投标人对本项目医共体牵头单位集中管理下级机构、云药房平台与医院互联互通、云药房平台云配送企业互联互通、云药房平台与省级采购平台互联互通、各级医疗机构药品联动管理保障等建设内容提供功能设计方案，包含但不限于以下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1.功能模块设计；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2.功能说明；</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3.业务流程；</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4.原型设计图。</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1.考察以上内容，满足上述任意一项内容的得15%，最高得60%；其他不得分。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（1）方案可行性强，阐述详实具体，评审加40%；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（2）方案可行性较强，阐述比较详实具体，评审加20%；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（3）方案可行性一般，阐述不够充分，评审加10%；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（4）方案可行性差或阐述不充分的，不加分。</w:t>
            </w:r>
            <w:r/>
          </w:p>
        </w:tc>
        <w:tc>
          <w:tcPr>
            <w:tcMar>
              <w:left w:w="108" w:type="dxa"/>
              <w:top w:w="0" w:type="dxa"/>
              <w:right w:w="108" w:type="dxa"/>
              <w:bottom w:w="0" w:type="dxa"/>
            </w:tcMar>
            <w:tcW w:w="42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0</w:t>
            </w:r>
            <w:r/>
          </w:p>
        </w:tc>
        <w:tc>
          <w:tcPr>
            <w:tcW w:w="329"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val="0"/>
                <w:sz w:val="28"/>
                <w:szCs w:val="28"/>
                <w:lang w:val="en-US" w:eastAsia="zh-CN"/>
              </w:rPr>
              <w:outlineLvl w:val="9"/>
              <w:suppressLineNumbers w:val="0"/>
            </w:pPr>
            <w:r>
              <w:rPr>
                <w:rFonts w:hint="eastAsia" w:ascii="宋体" w:hAnsi="宋体" w:cs="宋体"/>
                <w:b/>
                <w:bCs w:val="0"/>
                <w:sz w:val="28"/>
                <w:szCs w:val="28"/>
                <w:lang w:val="en-US" w:eastAsia="zh-CN"/>
              </w:rPr>
              <w:t xml:space="preserve">8</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2.4</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项目技术设计</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（一）评分内容：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考察投标人对本项目提供性能和技术的设计方案，包含但不限于以下内容：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1.架构体系性能设计；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2.应用系统性能设计；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3.数据存储性能设计；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4.技术路线。</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1.考察以上内容，满足上述任意一项内容的得15%，最高得60%；其他不得分。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（1）方案可行性强，阐述详实具体，评审加40%；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（2）方案可行性较强，阐述比较详实具体，评审加20%；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（3）方案可行性一般，阐述不够充分，评审加10%；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（4）方案可行性差或阐述不充分的，不加分。</w:t>
            </w:r>
            <w:r/>
          </w:p>
        </w:tc>
        <w:tc>
          <w:tcPr>
            <w:tcMar>
              <w:left w:w="108" w:type="dxa"/>
              <w:top w:w="0" w:type="dxa"/>
              <w:right w:w="108" w:type="dxa"/>
              <w:bottom w:w="0" w:type="dxa"/>
            </w:tcMar>
            <w:tcW w:w="42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0</w:t>
            </w:r>
            <w:r/>
          </w:p>
        </w:tc>
        <w:tc>
          <w:tcPr>
            <w:tcW w:w="329"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val="0"/>
                <w:sz w:val="28"/>
                <w:szCs w:val="28"/>
                <w:lang w:val="en-US" w:eastAsia="zh-CN"/>
              </w:rPr>
              <w:outlineLvl w:val="9"/>
              <w:suppressLineNumbers w:val="0"/>
            </w:pPr>
            <w:r>
              <w:rPr>
                <w:rFonts w:hint="eastAsia" w:ascii="宋体" w:hAnsi="宋体" w:cs="宋体"/>
                <w:b/>
                <w:bCs w:val="0"/>
                <w:sz w:val="28"/>
                <w:szCs w:val="28"/>
                <w:lang w:val="en-US" w:eastAsia="zh-CN"/>
              </w:rPr>
              <w:t xml:space="preserve">8</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2.5</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实施计划</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（一）评分内容：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考察投标人对本项目提供的项目实施计划方案，包含但不限于以下内容：</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1.管理方案；</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2.项目实施的主要风险以及降低风险的策略与措施；</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3.测试与验收方案，对应用系统功能及性能的测试方式。</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（二）评审依据：</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1.考察以上内容，满足上述任意一项内容的得20%，最高得60%；其他不得分。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2.在上述基础上，专家根据各投标人的具体响应内容按照量化的评审因素指标进一步评审。</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（1）方案可行性强，阐述详实具体，评审加40%；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（2）方案可行性较强，阐述比较详实具体，评审加20%；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（3）方案可行性一般，阐述不够充分，评审加10%；</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（4）方案可行性差或阐述不充分的，不加分。</w:t>
            </w:r>
            <w:r/>
          </w:p>
        </w:tc>
        <w:tc>
          <w:tcPr>
            <w:tcMar>
              <w:left w:w="108" w:type="dxa"/>
              <w:top w:w="0" w:type="dxa"/>
              <w:right w:w="108" w:type="dxa"/>
              <w:bottom w:w="0" w:type="dxa"/>
            </w:tcMar>
            <w:tcW w:w="42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val="0"/>
                <w:sz w:val="28"/>
                <w:szCs w:val="28"/>
                <w:lang w:val="en-US" w:eastAsia="zh-CN"/>
              </w:rPr>
              <w:outlineLvl w:val="9"/>
              <w:suppressLineNumbers w:val="0"/>
            </w:pPr>
            <w:r>
              <w:rPr>
                <w:rFonts w:hint="eastAsia" w:ascii="宋体" w:hAnsi="宋体" w:eastAsia="宋体" w:cs="宋体"/>
                <w:b/>
                <w:bCs w:val="0"/>
                <w:sz w:val="28"/>
                <w:szCs w:val="28"/>
                <w:lang w:val="en-US" w:eastAsia="zh-CN"/>
              </w:rPr>
              <w:t xml:space="preserve">0</w:t>
            </w:r>
            <w:r/>
          </w:p>
        </w:tc>
        <w:tc>
          <w:tcPr>
            <w:tcW w:w="329"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val="0"/>
                <w:sz w:val="28"/>
                <w:szCs w:val="28"/>
                <w:lang w:val="en-US" w:eastAsia="zh-CN"/>
              </w:rPr>
              <w:outlineLvl w:val="9"/>
              <w:suppressLineNumbers w:val="0"/>
            </w:pPr>
            <w:r>
              <w:rPr>
                <w:rFonts w:hint="eastAsia" w:ascii="宋体" w:hAnsi="宋体" w:cs="宋体"/>
                <w:b/>
                <w:bCs w:val="0"/>
                <w:sz w:val="28"/>
                <w:szCs w:val="28"/>
                <w:lang w:val="en-US" w:eastAsia="zh-CN"/>
              </w:rPr>
              <w:t xml:space="preserve">8</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r>
      <w:tr>
        <w:trPr>
          <w:trHeight w:val="482"/>
        </w:trPr>
        <w:tc>
          <w:tcPr>
            <w:tcW w:w="334"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lang w:val="en-US" w:eastAsia="zh-CN"/>
              </w:rPr>
              <w:suppressLineNumbers w:val="0"/>
            </w:pPr>
            <w:r>
              <w:rPr>
                <w:rFonts w:hint="eastAsia" w:ascii="宋体" w:hAnsi="宋体" w:eastAsia="宋体" w:cs="宋体"/>
                <w:b/>
                <w:bCs/>
                <w:sz w:val="28"/>
                <w:szCs w:val="28"/>
                <w:lang w:val="en-US" w:eastAsia="zh-CN"/>
              </w:rPr>
              <w:t xml:space="preserve">3</w:t>
            </w:r>
            <w:r/>
          </w:p>
        </w:tc>
        <w:tc>
          <w:tcPr>
            <w:tcMar>
              <w:left w:w="108" w:type="dxa"/>
              <w:top w:w="0" w:type="dxa"/>
              <w:right w:w="108" w:type="dxa"/>
              <w:bottom w:w="0" w:type="dxa"/>
            </w:tcMar>
            <w:tcW w:w="59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商务</w:t>
            </w:r>
            <w:r>
              <w:rPr>
                <w:rFonts w:hint="eastAsia" w:ascii="宋体" w:hAnsi="宋体" w:eastAsia="宋体" w:cs="宋体"/>
                <w:b/>
                <w:bCs/>
                <w:sz w:val="28"/>
                <w:szCs w:val="28"/>
                <w:lang w:val="en-US" w:eastAsia="zh-CN"/>
              </w:rPr>
              <w:t xml:space="preserve">部分</w:t>
            </w:r>
            <w:r>
              <w:rPr>
                <w:rFonts w:hint="eastAsia" w:ascii="宋体" w:hAnsi="宋体" w:eastAsia="宋体" w:cs="宋体"/>
                <w:b/>
                <w:bCs/>
                <w:sz w:val="28"/>
                <w:szCs w:val="28"/>
              </w:rPr>
              <w:t xml:space="preserve">（客观分）</w:t>
            </w:r>
            <w:r/>
          </w:p>
        </w:tc>
        <w:tc>
          <w:tcPr>
            <w:tcMar>
              <w:left w:w="108" w:type="dxa"/>
              <w:top w:w="0" w:type="dxa"/>
              <w:right w:w="108" w:type="dxa"/>
              <w:bottom w:w="0" w:type="dxa"/>
            </w:tcMar>
            <w:tcW w:w="254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val="0"/>
                <w:bCs/>
                <w:sz w:val="28"/>
                <w:szCs w:val="28"/>
              </w:rPr>
              <w:suppressLineNumbers w:val="0"/>
            </w:pPr>
            <w:r>
              <w:rPr>
                <w:rFonts w:hint="eastAsia" w:ascii="宋体" w:hAnsi="宋体" w:eastAsia="宋体" w:cs="宋体"/>
                <w:b w:val="0"/>
                <w:bCs/>
                <w:sz w:val="28"/>
                <w:szCs w:val="28"/>
              </w:rPr>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9"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30</w:t>
            </w:r>
            <w:r/>
          </w:p>
        </w:tc>
        <w:tc>
          <w:tcPr>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否</w:t>
            </w:r>
            <w:r/>
          </w:p>
        </w:tc>
        <w:tc>
          <w:tcPr>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是</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3.1</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企业资质</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cs="宋体"/>
                <w:b/>
                <w:bCs/>
                <w:sz w:val="28"/>
                <w:szCs w:val="28"/>
                <w:lang w:val="en-US" w:eastAsia="zh-CN"/>
              </w:rPr>
              <w:t xml:space="preserve">1.</w:t>
            </w:r>
            <w:r>
              <w:rPr>
                <w:rFonts w:hint="eastAsia" w:ascii="宋体" w:hAnsi="宋体" w:eastAsia="宋体" w:cs="宋体"/>
                <w:b/>
                <w:bCs/>
                <w:sz w:val="28"/>
                <w:szCs w:val="28"/>
                <w:lang w:val="en-US" w:eastAsia="zh-CN"/>
              </w:rPr>
              <w:t xml:space="preserve">投标人具有国家认可且在有限期内的：</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（1）</w:t>
            </w:r>
            <w:r>
              <w:rPr>
                <w:rFonts w:hint="eastAsia" w:ascii="宋体" w:hAnsi="宋体" w:eastAsia="宋体" w:cs="宋体"/>
                <w:sz w:val="28"/>
                <w:szCs w:val="28"/>
                <w:lang w:val="en-US" w:eastAsia="zh-CN"/>
              </w:rPr>
              <w:t xml:space="preserve">信息技术服务管理体系认证证书得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信息安全管理体系认证证书得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隐私信息管理体系认证证书得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（4）存储安全管理体系认证证书得2分；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本项最高得8分。</w:t>
            </w:r>
            <w:r/>
          </w:p>
          <w:p>
            <w:pPr>
              <w:numPr>
                <w:numId w:val="0"/>
              </w:numPr>
              <w:ind w:right="0"/>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cs="宋体"/>
                <w:b/>
                <w:bCs/>
                <w:sz w:val="28"/>
                <w:szCs w:val="28"/>
                <w:lang w:val="en-US" w:eastAsia="zh-CN"/>
              </w:rPr>
              <w:t xml:space="preserve">2.</w:t>
            </w:r>
            <w:r>
              <w:rPr>
                <w:rFonts w:hint="eastAsia" w:ascii="宋体" w:hAnsi="宋体" w:eastAsia="宋体" w:cs="宋体"/>
                <w:b/>
                <w:bCs/>
                <w:sz w:val="28"/>
                <w:szCs w:val="28"/>
                <w:lang w:val="en-US" w:eastAsia="zh-CN"/>
              </w:rPr>
              <w:t xml:space="preserve">投标人具有国家认可且在有限期内的信息安全服务相关证书：</w:t>
            </w:r>
            <w:r/>
          </w:p>
          <w:p>
            <w:pPr>
              <w:numPr>
                <w:ilvl w:val="0"/>
                <w:numId w:val="0"/>
              </w:numPr>
              <w:ind w:left="0" w:right="0" w:firstLine="0"/>
              <w:keepLines w:val="0"/>
              <w:keepNext w:val="0"/>
              <w:pageBreakBefore w:val="0"/>
              <w:spacing w:before="0" w:beforeAutospacing="0" w:after="0" w:afterAutospacing="0" w:line="264" w:lineRule="auto"/>
              <w:widowControl w:val="off"/>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（1）信息系统安全集成服务认证证书得3分；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（2）信息系统安全运维服务资质认证证书得3分；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本项最高得6分。</w:t>
            </w:r>
            <w:r/>
          </w:p>
          <w:p>
            <w:pPr>
              <w:numPr>
                <w:ilvl w:val="0"/>
                <w:numId w:val="0"/>
              </w:numPr>
              <w:ind w:left="0" w:right="0" w:firstLine="0"/>
              <w:keepLines w:val="0"/>
              <w:keepNext w:val="0"/>
              <w:pageBreakBefore w:val="0"/>
              <w:spacing w:before="0" w:beforeAutospacing="0" w:after="0" w:afterAutospacing="0" w:line="264" w:lineRule="auto"/>
              <w:widowControl w:val="off"/>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本大项最高得14分。</w:t>
            </w:r>
            <w:r/>
          </w:p>
          <w:p>
            <w:pPr>
              <w:ind w:left="0" w:right="0" w:firstLine="0"/>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lang w:val="en-US" w:eastAsia="zh-CN"/>
              </w:rPr>
              <w:suppressLineNumbers w:val="0"/>
            </w:pPr>
            <w:r>
              <w:rPr>
                <w:rFonts w:hint="eastAsia" w:ascii="宋体" w:hAnsi="宋体" w:eastAsia="宋体" w:cs="宋体"/>
                <w:b/>
                <w:bCs/>
                <w:color w:val="ff0000"/>
                <w:szCs w:val="28"/>
                <w:highlight w:val="none"/>
                <w:lang w:val="en-US" w:eastAsia="zh-CN"/>
              </w:rPr>
              <w:t xml:space="preserve">注：1.提供相关证书材料；</w:t>
            </w:r>
            <w:r/>
          </w:p>
          <w:p>
            <w:pPr>
              <w:ind w:left="0" w:right="0" w:firstLine="562"/>
              <w:keepLines w:val="0"/>
              <w:keepNext w:val="0"/>
              <w:pageBreakBefore w:val="0"/>
              <w:spacing w:before="0" w:beforeAutospacing="0" w:after="0" w:afterAutospacing="0" w:line="440" w:lineRule="exact"/>
              <w:widowControl/>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
                <w:bCs/>
                <w:color w:val="ff0000"/>
                <w:szCs w:val="28"/>
                <w:highlight w:val="none"/>
                <w:lang w:val="en-US" w:eastAsia="zh-CN"/>
              </w:rPr>
              <w:t xml:space="preserve">2.未按要求提供或提供不清晰导致专家无法判断的不得分。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9"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14</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3.2</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人员配备</w:t>
            </w:r>
            <w:r/>
          </w:p>
        </w:tc>
        <w:tc>
          <w:tcPr>
            <w:tcMar>
              <w:left w:w="108" w:type="dxa"/>
              <w:top w:w="0" w:type="dxa"/>
              <w:right w:w="108" w:type="dxa"/>
              <w:bottom w:w="0" w:type="dxa"/>
            </w:tcMar>
            <w:tcW w:w="2547" w:type="pct"/>
            <w:vAlign w:val="center"/>
            <w:textDirection w:val="lrTb"/>
            <w:noWrap w:val="false"/>
          </w:tcPr>
          <w:p>
            <w:pPr>
              <w:ind w:left="0" w:right="0" w:firstLine="0"/>
              <w:keepLines w:val="0"/>
              <w:keepNext w:val="0"/>
              <w:pageBreakBefore w:val="0"/>
              <w:spacing w:before="0" w:beforeAutospacing="0" w:after="0" w:afterAutospacing="0" w:line="440" w:lineRule="exact"/>
              <w:widowControl/>
              <w:rPr>
                <w:rFonts w:hint="eastAsia" w:ascii="宋体" w:hAnsi="宋体" w:eastAsia="宋体" w:cs="宋体"/>
                <w:b/>
                <w:bCs/>
                <w:szCs w:val="28"/>
                <w:highlight w:val="none"/>
              </w:rPr>
              <w:suppressLineNumbers w:val="0"/>
            </w:pPr>
            <w:r>
              <w:rPr>
                <w:rFonts w:hint="eastAsia" w:ascii="宋体" w:hAnsi="宋体" w:eastAsia="宋体" w:cs="宋体"/>
                <w:b/>
                <w:bCs/>
                <w:szCs w:val="28"/>
                <w:highlight w:val="none"/>
                <w:lang w:val="en-US" w:eastAsia="zh-CN"/>
              </w:rPr>
              <w:t xml:space="preserve">投标</w:t>
            </w:r>
            <w:r>
              <w:rPr>
                <w:rFonts w:hint="eastAsia" w:ascii="宋体" w:hAnsi="宋体" w:eastAsia="宋体" w:cs="宋体"/>
                <w:b/>
                <w:bCs/>
                <w:szCs w:val="28"/>
                <w:highlight w:val="none"/>
              </w:rPr>
              <w:t xml:space="preserve">人针对本项目拟派的</w:t>
            </w:r>
            <w:r>
              <w:rPr>
                <w:rFonts w:hint="eastAsia" w:ascii="宋体" w:hAnsi="宋体" w:eastAsia="宋体" w:cs="宋体"/>
                <w:b/>
                <w:bCs/>
                <w:szCs w:val="28"/>
                <w:highlight w:val="none"/>
                <w:lang w:val="en-US" w:eastAsia="zh-CN"/>
              </w:rPr>
              <w:t xml:space="preserve">负责人员</w:t>
            </w:r>
            <w:r>
              <w:rPr>
                <w:rFonts w:hint="eastAsia" w:ascii="宋体" w:hAnsi="宋体" w:eastAsia="宋体" w:cs="宋体"/>
                <w:b/>
                <w:bCs/>
                <w:szCs w:val="28"/>
                <w:highlight w:val="none"/>
              </w:rPr>
              <w:t xml:space="preserve">：</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zh-CN" w:eastAsia="zh-CN"/>
              </w:rPr>
              <w:outlineLvl w:val="9"/>
              <w:suppressLineNumbers w:val="0"/>
            </w:pPr>
            <w:r>
              <w:rPr>
                <w:rFonts w:hint="eastAsia" w:ascii="宋体" w:hAnsi="宋体" w:eastAsia="宋体" w:cs="宋体"/>
                <w:b/>
                <w:bCs/>
                <w:sz w:val="28"/>
                <w:szCs w:val="28"/>
                <w:lang w:val="en-US" w:eastAsia="zh-CN"/>
              </w:rPr>
              <w:t xml:space="preserve">1.</w:t>
            </w:r>
            <w:r>
              <w:rPr>
                <w:rFonts w:hint="eastAsia" w:ascii="宋体" w:hAnsi="宋体" w:eastAsia="宋体" w:cs="宋体"/>
                <w:b/>
                <w:bCs/>
                <w:sz w:val="28"/>
                <w:szCs w:val="28"/>
                <w:lang w:val="zh-CN" w:eastAsia="zh-CN"/>
              </w:rPr>
              <w:t xml:space="preserve">项目</w:t>
            </w:r>
            <w:r>
              <w:rPr>
                <w:rFonts w:hint="eastAsia" w:ascii="宋体" w:hAnsi="宋体" w:eastAsia="宋体" w:cs="宋体"/>
                <w:b/>
                <w:bCs/>
                <w:sz w:val="28"/>
                <w:szCs w:val="28"/>
                <w:lang w:val="en-US" w:eastAsia="zh-CN"/>
              </w:rPr>
              <w:t xml:space="preserve">负责人（限评1人，不得兼职）：</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zh-CN" w:eastAsia="zh-CN"/>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zh-CN" w:eastAsia="zh-CN"/>
              </w:rPr>
              <w:t xml:space="preserve">）具有</w:t>
            </w:r>
            <w:r>
              <w:rPr>
                <w:rFonts w:hint="eastAsia" w:ascii="宋体" w:hAnsi="宋体" w:eastAsia="宋体" w:cs="宋体"/>
                <w:sz w:val="28"/>
                <w:szCs w:val="28"/>
                <w:lang w:val="en-US" w:eastAsia="zh-CN"/>
              </w:rPr>
              <w:t xml:space="preserve">信息系统项目管理师证书的得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（2）具有系统架构设计师证书的得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（3）具有系统分析师证书的得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（4）具有信息安全保障人员（安全集成）证书的得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本项</w:t>
            </w:r>
            <w:r>
              <w:rPr>
                <w:rFonts w:hint="eastAsia" w:ascii="宋体" w:hAnsi="宋体" w:eastAsia="宋体" w:cs="宋体"/>
                <w:sz w:val="28"/>
                <w:szCs w:val="28"/>
                <w:lang w:val="zh-CN" w:eastAsia="zh-CN"/>
              </w:rPr>
              <w:t xml:space="preserve">最高得</w:t>
            </w: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2.技术负责人（限评1人，不得兼职）：</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（1）具有系统规划与管理师证书得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（2）具有系统集成项目管理工程师证书得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（3）具有注册信息安全专业人员证书得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（4）具有网络安全管理（二级及以上）证书得1分；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本项</w:t>
            </w:r>
            <w:r>
              <w:rPr>
                <w:rFonts w:hint="eastAsia" w:ascii="宋体" w:hAnsi="宋体" w:eastAsia="宋体" w:cs="宋体"/>
                <w:sz w:val="28"/>
                <w:szCs w:val="28"/>
                <w:lang w:val="zh-CN" w:eastAsia="zh-CN"/>
              </w:rPr>
              <w:t xml:space="preserve">最高得</w:t>
            </w:r>
            <w:r>
              <w:rPr>
                <w:rFonts w:hint="eastAsia" w:ascii="宋体" w:hAnsi="宋体" w:cs="宋体"/>
                <w:sz w:val="28"/>
                <w:szCs w:val="28"/>
                <w:lang w:val="en-US" w:eastAsia="zh-CN"/>
              </w:rPr>
              <w:t xml:space="preserve">7</w:t>
            </w:r>
            <w:r>
              <w:rPr>
                <w:rFonts w:hint="eastAsia" w:ascii="宋体" w:hAnsi="宋体" w:eastAsia="宋体" w:cs="宋体"/>
                <w:sz w:val="28"/>
                <w:szCs w:val="28"/>
                <w:lang w:val="en-US" w:eastAsia="zh-CN"/>
              </w:rPr>
              <w:t xml:space="preserve">分。</w:t>
            </w:r>
            <w:r/>
          </w:p>
          <w:p>
            <w:pPr>
              <w:numPr>
                <w:ilvl w:val="0"/>
                <w:numId w:val="0"/>
              </w:numPr>
              <w:ind w:left="0" w:right="0"/>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3.运维负责人（限评1人，不得兼职）：</w:t>
            </w:r>
            <w:r/>
          </w:p>
          <w:p>
            <w:pPr>
              <w:numPr>
                <w:ilvl w:val="0"/>
                <w:numId w:val="0"/>
              </w:numPr>
              <w:ind w:left="0" w:right="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（1）具有网络规划设计师证书得</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（2）具有数据安全评估师中级或以上的得1分；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（3）具有网络工程师证书的得1分；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本项最高得</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分。</w:t>
            </w:r>
            <w:r/>
          </w:p>
          <w:p>
            <w:pPr>
              <w:numPr>
                <w:ilvl w:val="0"/>
                <w:numId w:val="0"/>
              </w:numPr>
              <w:ind w:left="0" w:right="0"/>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4.网络安全负责人（限评1人，不得兼职）：</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（1）具有注册信息安全工程师证书得2分；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（2）具有网络安全管理一级证书认证证书得2分；</w:t>
            </w:r>
            <w:r/>
          </w:p>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本项最高得4分。</w:t>
            </w:r>
            <w:r/>
          </w:p>
          <w:p>
            <w:pPr>
              <w:numPr>
                <w:ilvl w:val="0"/>
                <w:numId w:val="0"/>
              </w:numPr>
              <w:ind w:left="0" w:right="0" w:firstLine="0"/>
              <w:keepLines w:val="0"/>
              <w:keepNext w:val="0"/>
              <w:pageBreakBefore w:val="0"/>
              <w:spacing w:before="0" w:beforeAutospacing="0" w:after="0" w:afterAutospacing="0" w:line="264" w:lineRule="auto"/>
              <w:widowControl w:val="off"/>
              <w:rPr>
                <w:rFonts w:hint="default"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本大项最高得</w:t>
            </w:r>
            <w:r>
              <w:rPr>
                <w:rFonts w:hint="eastAsia" w:ascii="宋体" w:hAnsi="宋体" w:cs="宋体"/>
                <w:sz w:val="28"/>
                <w:szCs w:val="28"/>
                <w:lang w:val="en-US" w:eastAsia="zh-CN"/>
              </w:rPr>
              <w:t xml:space="preserve">23</w:t>
            </w:r>
            <w:r>
              <w:rPr>
                <w:rFonts w:hint="eastAsia" w:ascii="宋体" w:hAnsi="宋体" w:eastAsia="宋体" w:cs="宋体"/>
                <w:sz w:val="28"/>
                <w:szCs w:val="28"/>
                <w:lang w:val="en-US" w:eastAsia="zh-CN"/>
              </w:rPr>
              <w:t xml:space="preserve">分。</w:t>
            </w:r>
            <w:r/>
          </w:p>
          <w:p>
            <w:pPr>
              <w:ind w:left="0" w:right="0" w:firstLine="0"/>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lang w:val="en-US" w:eastAsia="zh-CN"/>
              </w:rPr>
              <w:suppressLineNumbers w:val="0"/>
            </w:pPr>
            <w:r>
              <w:rPr>
                <w:rFonts w:hint="eastAsia" w:ascii="宋体" w:hAnsi="宋体" w:eastAsia="宋体" w:cs="宋体"/>
                <w:b/>
                <w:bCs/>
                <w:color w:val="ff0000"/>
                <w:szCs w:val="28"/>
                <w:highlight w:val="none"/>
              </w:rPr>
              <w:t xml:space="preserve">注：</w:t>
            </w:r>
            <w:r>
              <w:rPr>
                <w:rFonts w:hint="eastAsia" w:ascii="宋体" w:hAnsi="宋体" w:eastAsia="宋体" w:cs="宋体"/>
                <w:b/>
                <w:bCs/>
                <w:color w:val="ff0000"/>
                <w:szCs w:val="28"/>
                <w:highlight w:val="none"/>
                <w:lang w:val="en-US" w:eastAsia="zh-CN"/>
              </w:rPr>
              <w:t xml:space="preserve">1.提供相关证书材料；</w:t>
            </w:r>
            <w:r/>
          </w:p>
          <w:p>
            <w:pPr>
              <w:ind w:left="0" w:right="0" w:firstLine="562"/>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lang w:val="en-US" w:eastAsia="zh-CN"/>
              </w:rPr>
              <w:suppressLineNumbers w:val="0"/>
            </w:pPr>
            <w:r>
              <w:rPr>
                <w:rFonts w:hint="eastAsia" w:ascii="宋体" w:hAnsi="宋体" w:eastAsia="宋体" w:cs="宋体"/>
                <w:b/>
                <w:bCs/>
                <w:color w:val="ff0000"/>
                <w:szCs w:val="28"/>
                <w:highlight w:val="none"/>
                <w:lang w:val="en-US" w:eastAsia="zh-CN"/>
              </w:rPr>
              <w:t xml:space="preserve">2.提供投标人为其缴纳的近半年（投标文件提交截止时间往前推）任意一个月的社保缴纳证明材料；</w:t>
            </w:r>
            <w:r/>
          </w:p>
          <w:p>
            <w:pPr>
              <w:ind w:left="0" w:right="0" w:firstLine="562"/>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Cs w:val="28"/>
                <w:highlight w:val="none"/>
                <w:lang w:val="en-US" w:eastAsia="zh-CN"/>
              </w:rPr>
              <w:t xml:space="preserve">3.未按要求提供或提供不清晰导致专家无法判断的不得分。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9"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23</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r>
        <w:trPr>
          <w:trHeight w:val="482"/>
        </w:trPr>
        <w:tc>
          <w:tcPr>
            <w:tcW w:w="334"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default"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3.3</w:t>
            </w:r>
            <w:r/>
          </w:p>
        </w:tc>
        <w:tc>
          <w:tcPr>
            <w:tcMar>
              <w:left w:w="108" w:type="dxa"/>
              <w:top w:w="0" w:type="dxa"/>
              <w:right w:w="108" w:type="dxa"/>
              <w:bottom w:w="0" w:type="dxa"/>
            </w:tcMar>
            <w:tcW w:w="591"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4" w:lineRule="auto"/>
              <w:widowControl w:val="off"/>
              <w:rPr>
                <w:rFonts w:hint="eastAsia" w:ascii="宋体" w:hAnsi="宋体" w:eastAsia="宋体" w:cs="宋体"/>
                <w:b/>
                <w:bCs/>
                <w:sz w:val="28"/>
                <w:szCs w:val="28"/>
                <w:lang w:val="en-US" w:eastAsia="zh-CN"/>
              </w:rPr>
              <w:outlineLvl w:val="9"/>
              <w:suppressLineNumbers w:val="0"/>
            </w:pPr>
            <w:r>
              <w:rPr>
                <w:rFonts w:hint="eastAsia" w:ascii="宋体" w:hAnsi="宋体" w:cs="宋体"/>
                <w:b/>
                <w:bCs/>
                <w:sz w:val="28"/>
                <w:szCs w:val="28"/>
                <w:lang w:val="en-US" w:eastAsia="zh-CN"/>
              </w:rPr>
              <w:t xml:space="preserve">投标人</w:t>
            </w:r>
            <w:bookmarkStart w:id="63" w:name="_GoBack"/>
            <w:r/>
            <w:bookmarkEnd w:id="63"/>
            <w:r>
              <w:rPr>
                <w:rFonts w:hint="eastAsia" w:ascii="宋体" w:hAnsi="宋体" w:eastAsia="宋体" w:cs="宋体"/>
                <w:b/>
                <w:bCs/>
                <w:sz w:val="28"/>
                <w:szCs w:val="28"/>
                <w:lang w:val="en-US" w:eastAsia="zh-CN"/>
              </w:rPr>
              <w:t xml:space="preserve">业绩</w:t>
            </w:r>
            <w:r/>
          </w:p>
        </w:tc>
        <w:tc>
          <w:tcPr>
            <w:tcMar>
              <w:left w:w="108" w:type="dxa"/>
              <w:top w:w="0" w:type="dxa"/>
              <w:right w:w="108" w:type="dxa"/>
              <w:bottom w:w="0" w:type="dxa"/>
            </w:tcMar>
            <w:tcW w:w="2547" w:type="pct"/>
            <w:vAlign w:val="center"/>
            <w:textDirection w:val="lrTb"/>
            <w:noWrap w:val="false"/>
          </w:tcPr>
          <w:p>
            <w:pPr>
              <w:numPr>
                <w:ilvl w:val="0"/>
                <w:numId w:val="0"/>
              </w:numPr>
              <w:ind w:left="0" w:right="0" w:firstLine="0"/>
              <w:keepLines w:val="0"/>
              <w:keepNext w:val="0"/>
              <w:pageBreakBefore w:val="0"/>
              <w:spacing w:before="0" w:beforeAutospacing="0" w:after="0" w:afterAutospacing="0" w:line="264" w:lineRule="auto"/>
              <w:widowControl w:val="off"/>
              <w:rPr>
                <w:rFonts w:hint="eastAsia" w:ascii="宋体" w:hAnsi="宋体" w:eastAsia="宋体" w:cs="宋体"/>
                <w:sz w:val="28"/>
                <w:szCs w:val="28"/>
                <w:lang w:val="zh-CN" w:eastAsia="zh-CN"/>
              </w:rPr>
              <w:outlineLvl w:val="9"/>
              <w:suppressLineNumbers w:val="0"/>
            </w:pPr>
            <w:r>
              <w:rPr>
                <w:rFonts w:hint="eastAsia" w:ascii="宋体" w:hAnsi="宋体" w:eastAsia="宋体" w:cs="宋体"/>
                <w:sz w:val="28"/>
                <w:szCs w:val="28"/>
                <w:lang w:val="en-US" w:eastAsia="zh-CN"/>
              </w:rPr>
              <w:t xml:space="preserve">投标人自2022年1月1日以来承担过医疗类软件开发建设项目案例的</w:t>
            </w:r>
            <w:r>
              <w:rPr>
                <w:rFonts w:hint="eastAsia" w:ascii="宋体" w:hAnsi="宋体" w:eastAsia="宋体" w:cs="宋体"/>
                <w:sz w:val="28"/>
                <w:szCs w:val="28"/>
                <w:lang w:val="zh-CN" w:eastAsia="zh-CN"/>
              </w:rPr>
              <w:t xml:space="preserve">，每提供一份合同得</w:t>
            </w:r>
            <w:r>
              <w:rPr>
                <w:rFonts w:hint="eastAsia" w:ascii="宋体" w:hAnsi="宋体" w:cs="宋体"/>
                <w:sz w:val="28"/>
                <w:szCs w:val="28"/>
                <w:lang w:val="en-US" w:eastAsia="zh-CN"/>
              </w:rPr>
              <w:t xml:space="preserve">2</w:t>
            </w:r>
            <w:r>
              <w:rPr>
                <w:rFonts w:hint="eastAsia" w:ascii="宋体" w:hAnsi="宋体" w:eastAsia="宋体" w:cs="宋体"/>
                <w:sz w:val="28"/>
                <w:szCs w:val="28"/>
                <w:lang w:val="zh-CN" w:eastAsia="zh-CN"/>
              </w:rPr>
              <w:t xml:space="preserve">分，最高得</w:t>
            </w:r>
            <w:r>
              <w:rPr>
                <w:rFonts w:hint="eastAsia" w:ascii="宋体" w:hAnsi="宋体" w:cs="宋体"/>
                <w:sz w:val="28"/>
                <w:szCs w:val="28"/>
                <w:lang w:val="en-US" w:eastAsia="zh-CN"/>
              </w:rPr>
              <w:t xml:space="preserve">8</w:t>
            </w:r>
            <w:r>
              <w:rPr>
                <w:rFonts w:hint="eastAsia" w:ascii="宋体" w:hAnsi="宋体" w:eastAsia="宋体" w:cs="宋体"/>
                <w:sz w:val="28"/>
                <w:szCs w:val="28"/>
                <w:lang w:val="zh-CN" w:eastAsia="zh-CN"/>
              </w:rPr>
              <w:t xml:space="preserve">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注：1.提供合同材料。</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2.项目业绩时间以合同签订时间为准。</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3.同一业主单位同一项目不同年度的业绩不重复计分。分包合同不予计算。</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sz w:val="28"/>
                <w:szCs w:val="28"/>
              </w:rPr>
              <w:suppressLineNumbers w:val="0"/>
            </w:pPr>
            <w:r>
              <w:rPr>
                <w:rFonts w:hint="eastAsia" w:ascii="宋体" w:hAnsi="宋体" w:eastAsia="宋体" w:cs="宋体"/>
                <w:b/>
                <w:bCs/>
                <w:color w:val="ff0000"/>
                <w:szCs w:val="28"/>
                <w:highlight w:val="none"/>
                <w:lang w:val="en-US" w:eastAsia="zh-CN"/>
              </w:rPr>
              <w:t xml:space="preserve">4.</w:t>
            </w:r>
            <w:r>
              <w:rPr>
                <w:rFonts w:hint="eastAsia" w:ascii="宋体" w:hAnsi="宋体" w:eastAsia="宋体" w:cs="宋体"/>
                <w:b/>
                <w:bCs/>
                <w:color w:val="ff0000"/>
                <w:szCs w:val="28"/>
                <w:highlight w:val="none"/>
              </w:rPr>
              <w:t xml:space="preserve">未按要求提供或提供不清晰导致专家无法判断的不得分。</w:t>
            </w:r>
            <w:r/>
          </w:p>
        </w:tc>
        <w:tc>
          <w:tcPr>
            <w:tcMar>
              <w:left w:w="108" w:type="dxa"/>
              <w:top w:w="0" w:type="dxa"/>
              <w:right w:w="108" w:type="dxa"/>
              <w:bottom w:w="0" w:type="dxa"/>
            </w:tcMar>
            <w:tcW w:w="421"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0</w:t>
            </w:r>
            <w:r/>
          </w:p>
        </w:tc>
        <w:tc>
          <w:tcPr>
            <w:tcW w:w="329"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8</w:t>
            </w:r>
            <w:r/>
          </w:p>
        </w:tc>
        <w:tc>
          <w:tcPr>
            <w:shd w:val="clear" w:color="auto" w:fill="auto"/>
            <w:tcW w:w="388"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否</w:t>
            </w:r>
            <w:r/>
          </w:p>
        </w:tc>
        <w:tc>
          <w:tcPr>
            <w:shd w:val="clear" w:color="auto" w:fill="auto"/>
            <w:tcW w:w="387" w:type="pct"/>
            <w:vAlign w:val="center"/>
            <w:textDirection w:val="lrTb"/>
            <w:noWrap w:val="false"/>
          </w:tcPr>
          <w:p>
            <w:pPr>
              <w:ind w:left="0" w:right="0" w:firstLine="0"/>
              <w:jc w:val="center"/>
              <w:keepLines w:val="0"/>
              <w:keepNext w:val="0"/>
              <w:spacing w:before="0" w:beforeAutospacing="0" w:after="0" w:afterAutospacing="0" w:line="300" w:lineRule="exact"/>
              <w:widowControl/>
              <w:rPr>
                <w:rFonts w:hint="eastAsia" w:ascii="宋体" w:hAnsi="宋体" w:eastAsia="宋体" w:cs="宋体"/>
                <w:b/>
                <w:bCs w:val="0"/>
                <w:sz w:val="28"/>
                <w:szCs w:val="28"/>
                <w:lang w:val="en-US" w:eastAsia="zh-CN" w:bidi="ar-SA"/>
              </w:rPr>
              <w:suppressLineNumbers w:val="0"/>
            </w:pPr>
            <w:r>
              <w:rPr>
                <w:rFonts w:hint="eastAsia" w:ascii="宋体" w:hAnsi="宋体" w:cs="宋体"/>
                <w:b/>
                <w:bCs w:val="0"/>
                <w:sz w:val="28"/>
                <w:szCs w:val="28"/>
                <w:lang w:val="en-US" w:eastAsia="zh-CN"/>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numPr>
          <w:ilvl w:val="0"/>
          <w:numId w:val="0"/>
        </w:numPr>
        <w:ind w:firstLine="1124"/>
        <w:jc w:val="both"/>
        <w:keepLines w:val="0"/>
        <w:keepNext w:val="0"/>
        <w:pageBreakBefore w:val="0"/>
        <w:spacing w:line="360" w:lineRule="exact"/>
        <w:rPr>
          <w:rFonts w:eastAsia="宋体" w:cs="Times New Roman"/>
        </w:rPr>
      </w:pPr>
      <w:r>
        <w:rPr>
          <w:rFonts w:hint="eastAsia" w:eastAsia="宋体" w:cs="Times New Roman"/>
          <w:b/>
          <w:bCs/>
          <w:color w:val="ff0000"/>
          <w:highlight w:val="yellow"/>
        </w:rPr>
        <w:t xml:space="preserve">技术部分序号2.1</w:t>
      </w:r>
      <w:r>
        <w:rPr>
          <w:rFonts w:hint="eastAsia" w:eastAsia="宋体" w:cs="Times New Roman"/>
          <w:b/>
          <w:bCs/>
          <w:color w:val="ff0000"/>
          <w:highlight w:val="yellow"/>
          <w:lang w:val="en-US" w:eastAsia="zh-CN"/>
        </w:rPr>
        <w:t xml:space="preserve">项目理解及需求分析</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cs="Times New Roman"/>
          <w:lang w:val="en-US" w:eastAsia="zh-CN"/>
        </w:rPr>
        <w:t xml:space="preserve">9</w:t>
      </w:r>
      <w:r>
        <w:rPr>
          <w:rFonts w:hint="eastAsia" w:eastAsia="宋体" w:cs="Times New Roman"/>
        </w:rPr>
        <w:t xml:space="preserve">页，但不得超过60页，若篇幅页数不足或超出，则2.1</w:t>
      </w:r>
      <w:r>
        <w:rPr>
          <w:rFonts w:hint="eastAsia" w:eastAsia="宋体" w:cs="Times New Roman"/>
          <w:lang w:val="en-US" w:eastAsia="zh-CN"/>
        </w:rPr>
        <w:t xml:space="preserve">项目理解及需求分析</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2项目总体设计方案</w:t>
      </w:r>
      <w:r>
        <w:rPr>
          <w:rFonts w:hint="eastAsia" w:eastAsia="宋体" w:cs="Times New Roman"/>
          <w:b/>
          <w:bCs/>
          <w:color w:val="ff0000"/>
          <w:highlight w:val="yellow"/>
        </w:rPr>
        <w:t xml:space="preserve">：</w:t>
      </w:r>
      <w:r>
        <w:rPr>
          <w:rFonts w:hint="eastAsia" w:eastAsia="宋体" w:cs="Times New Roman"/>
        </w:rPr>
        <w:t xml:space="preserve">篇幅编制页数至少为15页，但不得超过</w:t>
      </w:r>
      <w:r>
        <w:rPr>
          <w:rFonts w:hint="eastAsia" w:eastAsia="宋体" w:cs="Times New Roman"/>
          <w:lang w:val="en-US" w:eastAsia="zh-CN"/>
        </w:rPr>
        <w:t xml:space="preserve">100</w:t>
      </w:r>
      <w:r>
        <w:rPr>
          <w:rFonts w:hint="eastAsia" w:eastAsia="宋体" w:cs="Times New Roman"/>
        </w:rPr>
        <w:t xml:space="preserve">页，若篇幅页数不足或超出，则2.</w:t>
      </w:r>
      <w:r>
        <w:rPr>
          <w:rFonts w:hint="eastAsia" w:eastAsia="宋体" w:cs="Times New Roman"/>
          <w:lang w:val="en-US" w:eastAsia="zh-CN"/>
        </w:rPr>
        <w:t xml:space="preserve">2</w:t>
      </w:r>
      <w:r>
        <w:rPr>
          <w:rFonts w:hint="eastAsia" w:ascii="宋体" w:hAnsi="宋体" w:eastAsia="宋体" w:cs="宋体"/>
          <w:color w:val="000000"/>
          <w:sz w:val="28"/>
          <w:szCs w:val="24"/>
          <w:highlight w:val="none"/>
          <w:lang w:val="en-US" w:eastAsia="zh-CN" w:bidi="ar-SA"/>
        </w:rPr>
        <w:t xml:space="preserve">项目总体设计</w:t>
      </w:r>
      <w:r>
        <w:rPr>
          <w:rFonts w:ascii="宋体" w:hAnsi="宋体" w:eastAsia="宋体" w:cs="宋体"/>
          <w:color w:val="000000"/>
          <w:sz w:val="28"/>
          <w:szCs w:val="24"/>
          <w:highlight w:val="none"/>
          <w:lang w:val="en-US" w:eastAsia="zh-CN" w:bidi="ar-SA"/>
        </w:rPr>
        <w:t xml:space="preserve">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3项目功能设计</w:t>
      </w:r>
      <w:r>
        <w:rPr>
          <w:rFonts w:hint="eastAsia" w:eastAsia="宋体" w:cs="Times New Roman"/>
          <w:b/>
          <w:bCs/>
          <w:color w:val="ff0000"/>
          <w:highlight w:val="yellow"/>
        </w:rPr>
        <w:t xml:space="preserve">：</w:t>
      </w:r>
      <w:r>
        <w:rPr>
          <w:rFonts w:hint="eastAsia" w:eastAsia="宋体" w:cs="Times New Roman"/>
        </w:rPr>
        <w:t xml:space="preserve">篇幅编制页数至少为1</w:t>
      </w:r>
      <w:r>
        <w:rPr>
          <w:rFonts w:hint="eastAsia" w:eastAsia="宋体" w:cs="Times New Roman"/>
          <w:lang w:val="en-US" w:eastAsia="zh-CN"/>
        </w:rPr>
        <w:t xml:space="preserve">2</w:t>
      </w:r>
      <w:r>
        <w:rPr>
          <w:rFonts w:hint="eastAsia" w:eastAsia="宋体" w:cs="Times New Roman"/>
        </w:rPr>
        <w:t xml:space="preserve">页，但不得超过</w:t>
      </w:r>
      <w:r>
        <w:rPr>
          <w:rFonts w:hint="eastAsia" w:eastAsia="宋体" w:cs="Times New Roman"/>
          <w:lang w:val="en-US" w:eastAsia="zh-CN"/>
        </w:rPr>
        <w:t xml:space="preserve">8</w:t>
      </w:r>
      <w:r>
        <w:rPr>
          <w:rFonts w:hint="eastAsia" w:eastAsia="宋体" w:cs="Times New Roman"/>
        </w:rPr>
        <w:t xml:space="preserve">0页，若篇幅页数不足或超出，则2.</w:t>
      </w:r>
      <w:r>
        <w:rPr>
          <w:rFonts w:hint="eastAsia" w:eastAsia="宋体" w:cs="Times New Roman"/>
          <w:lang w:val="en-US" w:eastAsia="zh-CN"/>
        </w:rPr>
        <w:t xml:space="preserve">3</w:t>
      </w:r>
      <w:r>
        <w:rPr>
          <w:rFonts w:hint="eastAsia" w:ascii="宋体" w:hAnsi="宋体" w:eastAsia="宋体" w:cs="宋体"/>
          <w:color w:val="000000"/>
          <w:sz w:val="28"/>
          <w:szCs w:val="24"/>
          <w:highlight w:val="none"/>
          <w:lang w:val="en-US" w:eastAsia="zh-CN" w:bidi="ar-SA"/>
        </w:rPr>
        <w:t xml:space="preserve">项目功能设计</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4项目技术设计</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12</w:t>
      </w:r>
      <w:r>
        <w:rPr>
          <w:rFonts w:hint="eastAsia" w:eastAsia="宋体" w:cs="Times New Roman"/>
        </w:rPr>
        <w:t xml:space="preserve">页，但不得超过</w:t>
      </w:r>
      <w:r>
        <w:rPr>
          <w:rFonts w:hint="eastAsia" w:eastAsia="宋体" w:cs="Times New Roman"/>
          <w:lang w:val="en-US" w:eastAsia="zh-CN"/>
        </w:rPr>
        <w:t xml:space="preserve">8</w:t>
      </w:r>
      <w:r>
        <w:rPr>
          <w:rFonts w:hint="eastAsia" w:eastAsia="宋体" w:cs="Times New Roman"/>
        </w:rPr>
        <w:t xml:space="preserve">0页，若篇幅页数不足或超出，则2.</w:t>
      </w:r>
      <w:r>
        <w:rPr>
          <w:rFonts w:hint="eastAsia" w:eastAsia="宋体" w:cs="Times New Roman"/>
          <w:lang w:val="en-US" w:eastAsia="zh-CN"/>
        </w:rPr>
        <w:t xml:space="preserve">4</w:t>
      </w:r>
      <w:r>
        <w:rPr>
          <w:rFonts w:hint="eastAsia" w:ascii="宋体" w:hAnsi="宋体" w:eastAsia="宋体" w:cs="宋体"/>
          <w:color w:val="000000"/>
          <w:sz w:val="28"/>
          <w:szCs w:val="24"/>
          <w:highlight w:val="none"/>
          <w:lang w:val="en-US" w:eastAsia="zh-CN" w:bidi="ar-SA"/>
        </w:rPr>
        <w:t xml:space="preserve">项目技术设计</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5实施计划</w:t>
      </w:r>
      <w:r>
        <w:rPr>
          <w:rFonts w:hint="eastAsia" w:eastAsia="宋体" w:cs="Times New Roman"/>
          <w:b/>
          <w:bCs/>
          <w:color w:val="ff0000"/>
          <w:highlight w:val="yellow"/>
        </w:rPr>
        <w:t xml:space="preserve">：</w:t>
      </w:r>
      <w:r>
        <w:rPr>
          <w:rFonts w:hint="eastAsia" w:eastAsia="宋体" w:cs="Times New Roman"/>
        </w:rPr>
        <w:t xml:space="preserve">篇幅编制页数至少为</w:t>
      </w:r>
      <w:r>
        <w:rPr>
          <w:rFonts w:hint="eastAsia" w:eastAsia="宋体" w:cs="Times New Roman"/>
          <w:lang w:val="en-US" w:eastAsia="zh-CN"/>
        </w:rPr>
        <w:t xml:space="preserve">9</w:t>
      </w:r>
      <w:r>
        <w:rPr>
          <w:rFonts w:hint="eastAsia" w:eastAsia="宋体" w:cs="Times New Roman"/>
        </w:rPr>
        <w:t xml:space="preserve">页，但不得超过60页，若篇幅页数不足或超出，则2.</w:t>
      </w:r>
      <w:r>
        <w:rPr>
          <w:rFonts w:hint="eastAsia" w:eastAsia="宋体" w:cs="Times New Roman"/>
          <w:lang w:val="en-US" w:eastAsia="zh-CN"/>
        </w:rPr>
        <w:t xml:space="preserve">5</w:t>
      </w:r>
      <w:r>
        <w:rPr>
          <w:rFonts w:hint="eastAsia" w:ascii="宋体" w:hAnsi="宋体" w:eastAsia="宋体" w:cs="宋体"/>
          <w:color w:val="000000"/>
          <w:sz w:val="28"/>
          <w:szCs w:val="24"/>
          <w:highlight w:val="none"/>
          <w:lang w:val="en-US" w:eastAsia="zh-CN" w:bidi="ar-SA"/>
        </w:rPr>
        <w:t xml:space="preserve">实施计划</w:t>
      </w:r>
      <w:r>
        <w:rPr>
          <w:rFonts w:hint="eastAsia" w:eastAsia="宋体" w:cs="Times New Roman"/>
        </w:rPr>
        <w:t xml:space="preserve">不得分。</w:t>
      </w:r>
      <w:r/>
    </w:p>
    <w:p>
      <w:pPr>
        <w:ind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0212"/>
      <w:r/>
      <w:bookmarkStart w:id="35" w:name="_Toc10141"/>
      <w:r/>
      <w:bookmarkStart w:id="36" w:name="_Toc8049"/>
      <w:r/>
      <w:bookmarkStart w:id="37" w:name="_Toc12777"/>
      <w:r/>
      <w:bookmarkStart w:id="38" w:name="_Toc6187"/>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35"/>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5"/>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89"/>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35"/>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35"/>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1088"/>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rPr>
          <w:rFonts w:hint="eastAsia" w:ascii="黑体" w:hAnsi="黑体" w:cs="黑体"/>
          <w:sz w:val="28"/>
          <w:szCs w:val="28"/>
          <w:lang w:val="en-US" w:eastAsia="zh-CN"/>
        </w:rPr>
        <w:t xml:space="preserve">第一节  项目基本信息</w:t>
      </w:r>
      <w:r/>
    </w:p>
    <w:tbl>
      <w:tblPr>
        <w:tblStyle w:val="1093"/>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217"/>
        <w:gridCol w:w="3396"/>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217"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396" w:type="dxa"/>
            <w:vAlign w:val="center"/>
            <w:textDirection w:val="lrTb"/>
            <w:noWrap w:val="false"/>
          </w:tcPr>
          <w:p>
            <w:pPr>
              <w:ind w:left="0" w:right="0" w:firstLine="112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w:t>
            </w:r>
            <w:r>
              <w:rPr>
                <w:rFonts w:hint="eastAsia" w:ascii="宋体" w:hAnsi="宋体" w:eastAsia="宋体" w:cs="宋体"/>
                <w:b w:val="0"/>
                <w:bCs/>
                <w:sz w:val="28"/>
                <w:szCs w:val="28"/>
              </w:rPr>
              <w:t xml:space="preserve">购项目名</w:t>
            </w:r>
            <w:r>
              <w:rPr>
                <w:rFonts w:hint="eastAsia" w:ascii="宋体" w:hAnsi="宋体" w:eastAsia="宋体" w:cs="宋体"/>
                <w:bCs/>
                <w:sz w:val="28"/>
                <w:szCs w:val="28"/>
              </w:rPr>
              <w:t xml:space="preserve">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eastAsia="宋体" w:cs="宋体"/>
                <w:b w:val="0"/>
                <w:bCs/>
                <w:sz w:val="28"/>
                <w:szCs w:val="28"/>
                <w:lang w:val="en-US" w:eastAsia="zh-CN"/>
              </w:rPr>
              <w:t xml:space="preserve">1</w:t>
            </w:r>
            <w:r/>
          </w:p>
        </w:tc>
        <w:tc>
          <w:tcPr>
            <w:tcW w:w="321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28"/>
                <w:szCs w:val="28"/>
                <w:lang w:val="en-US"/>
              </w:rPr>
              <w:suppressLineNumbers w:val="0"/>
            </w:pPr>
            <w:r>
              <w:rPr>
                <w:rFonts w:hint="eastAsia" w:eastAsia="宋体" w:cs="Times New Roman"/>
                <w:lang w:eastAsia="zh-CN"/>
              </w:rPr>
              <w:t xml:space="preserve">JSZC-320413-JZCG-G2026-00</w:t>
            </w:r>
            <w:r>
              <w:rPr>
                <w:rFonts w:hint="eastAsia" w:cs="Times New Roman"/>
                <w:lang w:val="en-US" w:eastAsia="zh-CN"/>
              </w:rPr>
              <w:t xml:space="preserve">15</w:t>
            </w:r>
            <w:r/>
          </w:p>
        </w:tc>
        <w:tc>
          <w:tcPr>
            <w:tcW w:w="3396"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eastAsia="宋体" w:cs="宋体"/>
                <w:b w:val="0"/>
                <w:bCs/>
                <w:sz w:val="28"/>
                <w:szCs w:val="28"/>
                <w:lang w:eastAsia="zh-CN"/>
              </w:rPr>
              <w:t xml:space="preserve">常州市金坛第一人民医院医共体云药房项目</w:t>
            </w:r>
            <w:r/>
          </w:p>
        </w:tc>
        <w:tc>
          <w:tcPr>
            <w:tcW w:w="2400"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宋体" w:hAnsi="宋体" w:eastAsia="宋体" w:cs="宋体"/>
                <w:b w:val="0"/>
                <w:bCs/>
                <w:sz w:val="28"/>
                <w:szCs w:val="28"/>
                <w:lang w:val="en-US" w:eastAsia="zh-CN"/>
              </w:rPr>
              <w:t xml:space="preserve">90</w:t>
            </w:r>
            <w:r/>
          </w:p>
        </w:tc>
      </w:tr>
    </w:tbl>
    <w:p>
      <w:pPr>
        <w:rPr>
          <w:rFonts w:hint="eastAsia"/>
          <w:lang w:val="en-US" w:eastAsia="zh-CN"/>
        </w:rPr>
      </w:pPr>
      <w:r>
        <w:rPr>
          <w:rFonts w:hint="eastAsia"/>
          <w:lang w:val="en-US" w:eastAsia="zh-CN"/>
        </w:rPr>
      </w:r>
      <w:r/>
    </w:p>
    <w:p>
      <w:pPr>
        <w:pStyle w:val="1088"/>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rPr>
          <w:rFonts w:hint="eastAsia" w:ascii="黑体" w:hAnsi="黑体" w:cs="黑体"/>
          <w:sz w:val="28"/>
          <w:szCs w:val="28"/>
          <w:lang w:val="en-US" w:eastAsia="zh-CN"/>
        </w:rPr>
        <w:t xml:space="preserve">第二节  项目概况</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zh-CN" w:eastAsia="zh-CN"/>
        </w:rPr>
        <w:suppressLineNumbers w:val="0"/>
      </w:pPr>
      <w:r>
        <w:rPr>
          <w:rFonts w:hint="eastAsia" w:ascii="宋体" w:hAnsi="宋体" w:eastAsia="宋体" w:cs="宋体"/>
          <w:b w:val="0"/>
          <w:bCs/>
          <w:sz w:val="28"/>
          <w:szCs w:val="28"/>
          <w:lang w:val="zh-CN" w:eastAsia="zh-CN"/>
        </w:rPr>
        <w:t xml:space="preserve">    本项目通过建设医共体云药房系统，构建区域统一的药品服务与药事管理数字化平台，全面支撑医共体内“药品集中管理采购药品全程追溯、服务高效协同”的一体化运行模式。项目的实施是推动金坛医共体高质量发展、提升基层药事服务能力、保障群众用药安全的重要举措。</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zh-CN" w:eastAsia="zh-CN"/>
        </w:rPr>
        <w:suppressLineNumbers w:val="0"/>
      </w:pPr>
      <w:r>
        <w:rPr>
          <w:rFonts w:hint="eastAsia" w:ascii="宋体" w:hAnsi="宋体" w:eastAsia="宋体" w:cs="宋体"/>
          <w:b w:val="0"/>
          <w:bCs/>
          <w:sz w:val="28"/>
          <w:szCs w:val="28"/>
          <w:lang w:val="zh-CN" w:eastAsia="zh-CN"/>
        </w:rPr>
        <w:t xml:space="preserve">    (1)推动区域药事服务标准化与规范化建设</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zh-CN" w:eastAsia="zh-CN"/>
        </w:rPr>
        <w:suppressLineNumbers w:val="0"/>
      </w:pPr>
      <w:r>
        <w:rPr>
          <w:rFonts w:hint="eastAsia" w:ascii="宋体" w:hAnsi="宋体" w:eastAsia="宋体" w:cs="宋体"/>
          <w:b w:val="0"/>
          <w:bCs/>
          <w:sz w:val="28"/>
          <w:szCs w:val="28"/>
          <w:lang w:val="zh-CN" w:eastAsia="zh-CN"/>
        </w:rPr>
        <w:t xml:space="preserve">    项目严格遵循国家药品管理法律法规及临床用药规范，依托云计算与大数据技术，建设统一标准的云药房系统，实现药品目录、配送服务的标准化管理。通过建立全区统一的药品目录，规范基层医疗机构统一药品编码等关键信息标准，有效解决当前基层药事服务标准不一、药品管理分散等问题，为医共体内药学服务的同质化、规范化奠定坚实基础。</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zh-CN" w:eastAsia="zh-CN"/>
        </w:rPr>
        <w:suppressLineNumbers w:val="0"/>
      </w:pPr>
      <w:r>
        <w:rPr>
          <w:rFonts w:hint="eastAsia" w:ascii="宋体" w:hAnsi="宋体" w:eastAsia="宋体" w:cs="宋体"/>
          <w:b w:val="0"/>
          <w:bCs/>
          <w:sz w:val="28"/>
          <w:szCs w:val="28"/>
          <w:lang w:val="zh-CN" w:eastAsia="zh-CN"/>
        </w:rPr>
        <w:t xml:space="preserve">    (2)实现药品资源区域共享与高效调配</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zh-CN" w:eastAsia="zh-CN"/>
        </w:rPr>
        <w:suppressLineNumbers w:val="0"/>
      </w:pPr>
      <w:r>
        <w:rPr>
          <w:rFonts w:hint="eastAsia" w:ascii="宋体" w:hAnsi="宋体" w:eastAsia="宋体" w:cs="宋体"/>
          <w:b w:val="0"/>
          <w:bCs/>
          <w:sz w:val="28"/>
          <w:szCs w:val="28"/>
          <w:lang w:val="zh-CN" w:eastAsia="zh-CN"/>
        </w:rPr>
        <w:t xml:space="preserve">    项目建设云药房系统，打破原有各医疗机构独立采购、分散库存的模式，实现药品的集中采购、统一储备、智能调配与统一配送。通过云药房系统对药品库存、效期、使用情况的实时监控，优化药品资源配置，减少基层医疗机构的药品积压与短缺现象，提升药品供应保障能力。</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zh-CN" w:eastAsia="zh-CN"/>
        </w:rPr>
        <w:suppressLineNumbers w:val="0"/>
      </w:pPr>
      <w:r>
        <w:rPr>
          <w:rFonts w:hint="eastAsia" w:ascii="宋体" w:hAnsi="宋体" w:eastAsia="宋体" w:cs="宋体"/>
          <w:b w:val="0"/>
          <w:bCs/>
          <w:sz w:val="28"/>
          <w:szCs w:val="28"/>
          <w:lang w:val="zh-CN" w:eastAsia="zh-CN"/>
        </w:rPr>
        <w:t xml:space="preserve">    (3)强化药事管理效能与全程追溯能力</w:t>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zh-CN" w:eastAsia="zh-CN"/>
        </w:rPr>
        <w:suppressLineNumbers w:val="0"/>
      </w:pPr>
      <w:r>
        <w:rPr>
          <w:rFonts w:hint="eastAsia" w:ascii="宋体" w:hAnsi="宋体" w:eastAsia="宋体" w:cs="宋体"/>
          <w:b w:val="0"/>
          <w:bCs/>
          <w:sz w:val="28"/>
          <w:szCs w:val="28"/>
          <w:lang w:val="zh-CN" w:eastAsia="zh-CN"/>
        </w:rPr>
        <w:t xml:space="preserve">    依托云药房系统，实现药品从采购、入库、调配、配送到使用的全流程数字化管理。每一盒药品均可实现来源可查、去向可追、责任可究的全程追溯。平台同步整合医保报销、药品使用分析等功能，为医保控费、合理用药监管、药品使用评价提供数据支撑。管理人员可通过平台实时掌握各成员单位药品使用动态，实现药事管理的精细化、智能化和科学化决策。</w:t>
      </w:r>
      <w:r/>
    </w:p>
    <w:p>
      <w:pPr>
        <w:rPr>
          <w:rFonts w:hint="default"/>
          <w:lang w:val="en-US" w:eastAsia="zh-CN"/>
        </w:rPr>
      </w:pPr>
      <w:r>
        <w:rPr>
          <w:rFonts w:hint="default"/>
          <w:lang w:val="en-US" w:eastAsia="zh-CN"/>
        </w:rPr>
      </w:r>
      <w:r/>
    </w:p>
    <w:p>
      <w:pPr>
        <w:pStyle w:val="1088"/>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bookmarkStart w:id="39" w:name="_Hlk72073432"/>
      <w:r>
        <w:rPr>
          <w:rFonts w:hint="eastAsia" w:ascii="黑体" w:hAnsi="黑体" w:cs="黑体"/>
          <w:sz w:val="28"/>
          <w:szCs w:val="28"/>
          <w:lang w:val="en-US" w:eastAsia="zh-CN"/>
        </w:rPr>
        <w:t xml:space="preserve">第三节  服务需求明细</w:t>
      </w:r>
      <w:bookmarkEnd w:id="39"/>
      <w:r/>
      <w:r/>
    </w:p>
    <w:tbl>
      <w:tblPr>
        <w:tblStyle w:val="1093"/>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262"/>
        <w:gridCol w:w="3642"/>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655" w:type="pct"/>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项目编号</w:t>
            </w:r>
            <w:r/>
          </w:p>
        </w:tc>
        <w:tc>
          <w:tcPr>
            <w:tcW w:w="1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655"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Cs/>
                <w:sz w:val="28"/>
                <w:szCs w:val="28"/>
                <w:lang w:val="en-US" w:eastAsia="zh-CN"/>
              </w:rPr>
              <w:suppressLineNumbers w:val="0"/>
            </w:pPr>
            <w:r>
              <w:rPr>
                <w:rFonts w:hint="eastAsia" w:eastAsia="宋体" w:cs="Times New Roman"/>
                <w:lang w:eastAsia="zh-CN"/>
              </w:rPr>
              <w:t xml:space="preserve">JSZC-320413-JZCG-G2026-00</w:t>
            </w:r>
            <w:r>
              <w:rPr>
                <w:rFonts w:hint="eastAsia" w:cs="Times New Roman"/>
                <w:lang w:val="en-US" w:eastAsia="zh-CN"/>
              </w:rPr>
              <w:t xml:space="preserve">15</w:t>
            </w:r>
            <w:r/>
          </w:p>
        </w:tc>
        <w:tc>
          <w:tcPr>
            <w:tcW w:w="1847"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 w:val="0"/>
                <w:bCs/>
                <w:sz w:val="28"/>
                <w:szCs w:val="28"/>
                <w:lang w:eastAsia="zh-CN"/>
              </w:rPr>
              <w:t xml:space="preserve">常州市金坛第一人民医院医共体云药房项目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088"/>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09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rPr>
          <w:rFonts w:hint="eastAsia"/>
          <w:lang w:val="en-US" w:eastAsia="zh-CN"/>
        </w:rPr>
      </w:pPr>
      <w:r>
        <w:rPr>
          <w:rFonts w:hint="eastAsia"/>
          <w:lang w:val="en-US" w:eastAsia="zh-CN"/>
        </w:rPr>
      </w:r>
      <w:r/>
    </w:p>
    <w:p>
      <w:pPr>
        <w:pStyle w:val="1088"/>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rPr>
          <w:rFonts w:hint="eastAsia" w:ascii="黑体" w:hAnsi="黑体" w:cs="黑体"/>
          <w:sz w:val="28"/>
          <w:szCs w:val="28"/>
          <w:lang w:val="en-US" w:eastAsia="zh-CN"/>
        </w:rPr>
        <w:t xml:space="preserve">★第五节  技术要求</w:t>
      </w:r>
      <w:r/>
    </w:p>
    <w:p>
      <w:pPr>
        <w:numPr>
          <w:ilvl w:val="0"/>
          <w:numId w:val="0"/>
        </w:numPr>
        <w:rPr>
          <w:rFonts w:hint="eastAsia"/>
          <w:b/>
          <w:bCs/>
        </w:rPr>
      </w:pPr>
      <w:r>
        <w:rPr>
          <w:rFonts w:hint="eastAsia"/>
          <w:b/>
          <w:bCs/>
          <w:lang w:val="en-US" w:eastAsia="zh-CN"/>
        </w:rPr>
        <w:t xml:space="preserve">一、建设内容</w:t>
      </w:r>
      <w:r/>
    </w:p>
    <w:p>
      <w:pPr>
        <w:ind w:firstLine="0"/>
        <w:rPr>
          <w:rFonts w:hint="eastAsia"/>
          <w:b/>
          <w:bCs/>
          <w:lang w:val="en-US" w:eastAsia="zh-CN"/>
        </w:rPr>
      </w:pPr>
      <w:r>
        <w:rPr>
          <w:rFonts w:hint="eastAsia"/>
          <w:b/>
          <w:bCs/>
          <w:lang w:val="en-US" w:eastAsia="zh-CN"/>
        </w:rPr>
        <w:t xml:space="preserve">    1.建设原则</w:t>
      </w:r>
      <w:r/>
    </w:p>
    <w:p>
      <w:pPr>
        <w:ind w:firstLine="562"/>
        <w:jc w:val="left"/>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统一标准、集中管理：</w:t>
      </w:r>
      <w:r>
        <w:rPr>
          <w:rFonts w:hint="eastAsia" w:ascii="宋体" w:hAnsi="宋体" w:eastAsia="宋体" w:cs="宋体"/>
          <w:sz w:val="28"/>
          <w:szCs w:val="28"/>
        </w:rPr>
        <w:t xml:space="preserve">数据采集、存储遵循国家及省市卫健委标准规范。</w:t>
      </w:r>
      <w:r/>
    </w:p>
    <w:p>
      <w:pPr>
        <w:ind w:firstLine="562"/>
        <w:jc w:val="left"/>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实时同步、动态更新：</w:t>
      </w:r>
      <w:r>
        <w:rPr>
          <w:rFonts w:hint="eastAsia" w:ascii="宋体" w:hAnsi="宋体" w:eastAsia="宋体" w:cs="宋体"/>
          <w:sz w:val="28"/>
          <w:szCs w:val="28"/>
        </w:rPr>
        <w:t xml:space="preserve">各单位业务数据定时或实时同步至区域中心数据库。</w:t>
      </w:r>
      <w:r/>
    </w:p>
    <w:p>
      <w:pPr>
        <w:ind w:firstLine="562"/>
        <w:jc w:val="left"/>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合理授权、安全共享：</w:t>
      </w:r>
      <w:r>
        <w:rPr>
          <w:rFonts w:hint="eastAsia" w:ascii="宋体" w:hAnsi="宋体" w:eastAsia="宋体" w:cs="宋体"/>
          <w:sz w:val="28"/>
          <w:szCs w:val="28"/>
        </w:rPr>
        <w:t xml:space="preserve">建立统一的数据共享平台，确保数据可控、合规流转。</w:t>
      </w:r>
      <w:r/>
    </w:p>
    <w:p>
      <w:pPr>
        <w:ind w:firstLine="562"/>
        <w:jc w:val="left"/>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兼容开放、可扩展性强：</w:t>
      </w:r>
      <w:r>
        <w:rPr>
          <w:rFonts w:hint="eastAsia" w:ascii="宋体" w:hAnsi="宋体" w:eastAsia="宋体" w:cs="宋体"/>
          <w:sz w:val="28"/>
          <w:szCs w:val="28"/>
        </w:rPr>
        <w:t xml:space="preserve">设计预留扩展接口，适配未来医共体信息化发展需求。</w:t>
      </w:r>
      <w:r/>
    </w:p>
    <w:p>
      <w:pPr>
        <w:ind w:firstLine="562"/>
        <w:jc w:val="left"/>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安全性优先：</w:t>
      </w:r>
      <w:r>
        <w:rPr>
          <w:rFonts w:hint="eastAsia" w:ascii="宋体" w:hAnsi="宋体" w:eastAsia="宋体" w:cs="宋体"/>
          <w:sz w:val="28"/>
          <w:szCs w:val="28"/>
        </w:rPr>
        <w:t xml:space="preserve">确保数据传输、存储、访问过程中的安全性、隐私保护与合规性。</w:t>
      </w:r>
      <w:r/>
    </w:p>
    <w:p>
      <w:pPr>
        <w:ind w:firstLine="562"/>
        <w:jc w:val="left"/>
        <w:spacing w:line="360" w:lineRule="auto"/>
        <w:widowControl/>
        <w:rPr>
          <w:rFonts w:hint="eastAsia" w:ascii="宋体" w:hAnsi="宋体" w:eastAsia="宋体" w:cs="宋体"/>
          <w:sz w:val="28"/>
          <w:szCs w:val="28"/>
        </w:rPr>
      </w:pPr>
      <w:r>
        <w:rPr>
          <w:rFonts w:hint="eastAsia" w:ascii="宋体" w:hAnsi="宋体" w:eastAsia="宋体" w:cs="宋体"/>
          <w:b/>
          <w:bCs/>
          <w:sz w:val="28"/>
          <w:szCs w:val="28"/>
        </w:rPr>
        <w:t xml:space="preserve">高效性和稳定性：</w:t>
      </w:r>
      <w:r>
        <w:rPr>
          <w:rFonts w:hint="eastAsia" w:ascii="宋体" w:hAnsi="宋体" w:eastAsia="宋体" w:cs="宋体"/>
          <w:sz w:val="28"/>
          <w:szCs w:val="28"/>
        </w:rPr>
        <w:t xml:space="preserve">实现数据的实时采集、高速处理、快速检索和高可用存储。</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2.技术方案</w:t>
      </w:r>
      <w:r/>
    </w:p>
    <w:p>
      <w:pPr>
        <w:ind w:firstLine="0"/>
        <w:rPr>
          <w:rFonts w:hint="eastAsia" w:ascii="宋体" w:hAnsi="宋体" w:eastAsia="宋体" w:cs="宋体"/>
          <w:lang w:val="en-US" w:eastAsia="zh-CN"/>
        </w:rPr>
      </w:pPr>
      <w:r>
        <w:rPr>
          <w:rFonts w:hint="eastAsia" w:ascii="宋体" w:hAnsi="宋体" w:eastAsia="宋体" w:cs="宋体"/>
          <w:b/>
          <w:bCs/>
          <w:lang w:val="en-US" w:eastAsia="zh-CN"/>
        </w:rPr>
        <w:t xml:space="preserve">   （1）技术架构</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项目采用多租户技术为基础搭建的云端系统，实现多个租户之间共享系统实例，同时又可以实现租户的系统实例的个性化定制。通过使用多租户技术可以保证系统共性的部分被共享，个性的部分被单独隔离。</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采用微服务架构，将单一应用程序划分成一组小的服务，服务之间相互协调、互相配合，为用户提供最终价值。每个服务运行在其独立的进程中，服务和服务之间采用轻量级的通信机制相互沟通（通常是基于HTTP的Restful API）。</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采用多层架构部署，通过中间逻辑运算层的分布式部署，有效降低主机服务器的运算负载，将大量运算逻辑处理在二级应用服务器上面进行处理，有效缓解医疗机构系统高峰时候超负荷运行的需求。</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采用组件架构，包括组件服务、服务封装、统一数据服务、工作流程管理、会话及安全管理、事件及消息管理、用户界面管理等。所有的应用功能都被封装成组件，并通过接口对外提供服务。</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采用分布式计算技术，通过分布式集群系统和分布式文件系统，将一个大的任务划分成多个部分，分别交给多个计算节点进行处理，综合得到最终结果。</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内置HL7引擎，提供对HL7 VER2.31标准的支持，可以与支持该标准的第三方系统通过HL7消息交换信息和实现集成。</w:t>
      </w:r>
      <w:r/>
    </w:p>
    <w:p>
      <w:pPr>
        <w:ind w:firstLine="0"/>
        <w:rPr>
          <w:rFonts w:hint="eastAsia" w:ascii="宋体" w:hAnsi="宋体" w:eastAsia="宋体" w:cs="宋体"/>
          <w:b/>
          <w:bCs/>
          <w:lang w:val="en-US" w:eastAsia="zh-CN"/>
        </w:rPr>
      </w:pPr>
      <w:r/>
      <w:bookmarkStart w:id="40" w:name="_Toc102642675"/>
      <w:r/>
      <w:bookmarkEnd w:id="40"/>
      <w:r/>
      <w:bookmarkStart w:id="41" w:name="_Toc105318790"/>
      <w:r/>
      <w:bookmarkEnd w:id="41"/>
      <w:r/>
      <w:bookmarkStart w:id="42" w:name="_Toc102642673"/>
      <w:r/>
      <w:bookmarkEnd w:id="42"/>
      <w:r>
        <w:rPr>
          <w:rFonts w:hint="eastAsia" w:ascii="宋体" w:hAnsi="宋体" w:eastAsia="宋体" w:cs="宋体"/>
          <w:b/>
          <w:bCs/>
          <w:lang w:val="en-US" w:eastAsia="zh-CN"/>
        </w:rPr>
        <w:t xml:space="preserve">   （2）总体框架</w:t>
      </w:r>
      <w:r/>
    </w:p>
    <w:p>
      <w:pPr>
        <w:ind w:firstLine="0"/>
        <w:jc w:val="center"/>
        <w:spacing w:line="240" w:lineRule="auto"/>
        <w:rPr>
          <w:rFonts w:hint="eastAsia" w:ascii="宋体" w:hAnsi="宋体" w:eastAsia="宋体" w:cs="宋体"/>
          <w:sz w:val="28"/>
          <w:szCs w:val="28"/>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5615940" cy="2860675"/>
                <wp:effectExtent l="0" t="0" r="3810" b="15875"/>
                <wp:docPr id="2" name="图片 3" descr="/Users/chengxiaorong/Library/Containers/com.kingsoft.wpsoffice.mac/Data/tmp/photoeditapp/20260313120949/temp.png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Users/chengxiaorong/Library/Containers/com.kingsoft.wpsoffice.mac/Data/tmp/photoeditapp/20260313120949/temp.pngtemp"/>
                        <pic:cNvPicPr>
                          <a:picLocks noChangeAspect="1"/>
                        </pic:cNvPicPr>
                        <pic:nvPr/>
                      </pic:nvPicPr>
                      <pic:blipFill>
                        <a:blip r:embed="rId27"/>
                        <a:stretch/>
                      </pic:blipFill>
                      <pic:spPr bwMode="auto">
                        <a:xfrm>
                          <a:off x="0" y="0"/>
                          <a:ext cx="5615940" cy="28606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2.2pt;height:225.2pt;mso-wrap-distance-left:0.0pt;mso-wrap-distance-top:0.0pt;mso-wrap-distance-right:0.0pt;mso-wrap-distance-bottom:0.0pt;" stroked="false">
                <v:path textboxrect="0,0,0,0"/>
                <v:imagedata r:id="rId27" o:title=""/>
              </v:shape>
            </w:pict>
          </mc:Fallback>
        </mc:AlternateContent>
      </w:r>
      <w:r/>
    </w:p>
    <w:p>
      <w:pPr>
        <w:ind w:left="0" w:firstLine="281"/>
        <w:rPr>
          <w:rFonts w:hint="eastAsia" w:ascii="宋体" w:hAnsi="宋体" w:eastAsia="宋体" w:cs="宋体"/>
          <w:b/>
          <w:bCs/>
          <w:lang w:val="en-US" w:eastAsia="zh-CN"/>
        </w:rPr>
      </w:pPr>
      <w:r>
        <w:rPr>
          <w:rFonts w:hint="eastAsia" w:ascii="宋体" w:hAnsi="宋体" w:eastAsia="宋体" w:cs="宋体"/>
          <w:b/>
          <w:bCs/>
          <w:lang w:val="en-US" w:eastAsia="zh-CN"/>
        </w:rPr>
        <w:t xml:space="preserve">（3）系统安全</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3.1访问控制</w:t>
      </w:r>
      <w:r/>
    </w:p>
    <w:p>
      <w:pPr>
        <w:ind w:firstLine="56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基于角色的访问控制（RBAC）模型，为不同角色的用户分配细致的权限。例 如，医生角色具备患者诊疗信息的查看、修改和开具医嘱权限，但对于系统核心配置信息仅有查看权限；管理人员则拥有系统管理、用户权限分配、数据统计分析等高级权限。通过这种方式，严格限制用户对系统资源的访问，防止越权操作 导致的数据泄露风险。</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3.2数据加密</w:t>
      </w:r>
      <w:r/>
    </w:p>
    <w:p>
      <w:pPr>
        <w:ind w:firstLine="56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数据传输过程中，采用加密协议，保障数据在网络中传输的安全性，防止数 据被窃取或篡改。在数据存储环节，对患者的敏感信息，如身份证号、联系方式、 疾病诊断详情等进行加密存储。</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3.3审查日志</w:t>
      </w:r>
      <w:r/>
    </w:p>
    <w:p>
      <w:pPr>
        <w:ind w:firstLine="56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对系统内所有用户的操作行为进行详细记录。审计内容包括用户登录时间、登录IP 地址、执行的操作类型、涉及的数据对象等。一旦发现异常情况，能够迅速追溯到相关操作人员，采取相应的措施进行处理，如冻结账号、进一步调查取证等，确保系统的安全性和稳定性。</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3.4安全认证</w:t>
      </w:r>
      <w:r/>
    </w:p>
    <w:p>
      <w:pPr>
        <w:ind w:firstLine="560"/>
        <w:jc w:val="left"/>
        <w:spacing w:line="36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构建完善的用户身份认证体系，除了常规的用户名和密码登录方式外，引入多因素认证，如动态验证码等，增强用户登录的安全性。</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（4）网络安全</w:t>
      </w:r>
      <w:r/>
    </w:p>
    <w:p>
      <w:pPr>
        <w:ind w:firstLine="560"/>
        <w:spacing w:line="240" w:lineRule="auto"/>
        <w:rPr>
          <w:rFonts w:hint="eastAsia" w:ascii="宋体" w:hAnsi="宋体" w:eastAsia="宋体" w:cs="宋体"/>
          <w:sz w:val="28"/>
          <w:szCs w:val="28"/>
        </w:rPr>
      </w:pPr>
      <w:r/>
      <w:bookmarkStart w:id="43" w:name="5.4_国产化设计方案"/>
      <w:r/>
      <w:bookmarkEnd w:id="43"/>
      <w:r/>
      <w:bookmarkStart w:id="44" w:name="5.2.3_安全管理方案"/>
      <w:r/>
      <w:bookmarkEnd w:id="44"/>
      <w:r/>
      <w:bookmarkStart w:id="45" w:name="5.3_密码应用设计方案"/>
      <w:r/>
      <w:bookmarkEnd w:id="45"/>
      <w:r>
        <w:rPr>
          <w:rFonts w:hint="eastAsia" w:ascii="宋体" w:hAnsi="宋体" w:eastAsia="宋体" w:cs="宋体"/>
          <w:sz w:val="28"/>
          <w:szCs w:val="28"/>
        </w:rPr>
        <w:t xml:space="preserve">本次项目建设系统部署于医院内部网</w:t>
      </w:r>
      <w:r>
        <w:rPr>
          <w:rFonts w:hint="eastAsia" w:ascii="宋体" w:hAnsi="宋体" w:eastAsia="宋体" w:cs="宋体"/>
          <w:sz w:val="28"/>
          <w:szCs w:val="28"/>
        </w:rPr>
        <w:t xml:space="preserve">络，依托卫生专网实现区域内医疗机构的互联互通，并充分利用医院及金坛卫健局现有安全防护体系。以云药房系统为核心节点，各医疗机构为分支节点，实现数据的集中管理与高效传输。在与省级药品集中采购平台对接时，严格遵循网络安全等级保护要求，采用内外网隔离架构，通过部署Nginx服务的外网前置机配合单向网闸建立连接，实现仅允许向外的单向数据抓取，确保外部系统无法对内网发起任何访问或探测行为，医院内网在数据获取全过程始终保持物理级安全隔离。此外，系统将配合医院完成三级等保测评工作，全面保障数据传输的安全性、稳定性与合规性。</w:t>
      </w:r>
      <w:r/>
    </w:p>
    <w:p>
      <w:pPr>
        <w:ind w:left="0" w:firstLine="301"/>
        <w:spacing w:line="240" w:lineRule="auto"/>
        <w:rPr>
          <w:rFonts w:hint="eastAsia" w:ascii="宋体" w:hAnsi="宋体" w:eastAsia="宋体" w:cs="宋体"/>
          <w:b/>
          <w:sz w:val="30"/>
          <w:szCs w:val="24"/>
          <w:lang w:val="en-US" w:eastAsia="zh-CN" w:bidi="ar-SA"/>
        </w:rPr>
      </w:pPr>
      <w:r>
        <w:rPr>
          <w:rFonts w:hint="eastAsia" w:ascii="宋体" w:hAnsi="宋体" w:eastAsia="宋体" w:cs="宋体"/>
          <w:b/>
          <w:sz w:val="30"/>
          <w:szCs w:val="24"/>
          <w:lang w:val="en-US" w:eastAsia="zh-CN" w:bidi="ar-SA"/>
        </w:rPr>
        <w:t xml:space="preserve">3.总体建设内容 </w:t>
      </w:r>
      <w:r/>
    </w:p>
    <w:p>
      <w:pPr>
        <w:ind w:left="0" w:firstLine="281"/>
        <w:rPr>
          <w:rFonts w:hint="eastAsia" w:ascii="宋体" w:hAnsi="宋体" w:eastAsia="宋体" w:cs="宋体"/>
          <w:b/>
          <w:bCs/>
          <w:lang w:val="en-US" w:eastAsia="zh-CN"/>
        </w:rPr>
      </w:pPr>
      <w:r/>
      <w:bookmarkStart w:id="46" w:name="_Toc213423283"/>
      <w:r/>
      <w:bookmarkStart w:id="47" w:name="_Toc1611463659"/>
      <w:r/>
      <w:bookmarkStart w:id="48" w:name="_Toc6273"/>
      <w:r>
        <w:rPr>
          <w:rFonts w:hint="eastAsia" w:ascii="宋体" w:hAnsi="宋体" w:eastAsia="宋体" w:cs="宋体"/>
          <w:b/>
          <w:bCs/>
          <w:lang w:val="en-US" w:eastAsia="zh-CN"/>
        </w:rPr>
        <w:t xml:space="preserve">（1）建设内容</w:t>
      </w:r>
      <w:bookmarkEnd w:id="46"/>
      <w:r/>
      <w:bookmarkEnd w:id="47"/>
      <w:r/>
      <w:bookmarkEnd w:id="48"/>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1.1医共体招采业务对接模块</w:t>
      </w:r>
      <w:r/>
    </w:p>
    <w:p>
      <w:pPr>
        <w:ind w:firstLine="0"/>
        <w:rPr>
          <w:rFonts w:hint="eastAsia" w:ascii="宋体" w:hAnsi="宋体" w:eastAsia="宋体" w:cs="宋体"/>
          <w:b/>
          <w:bCs/>
          <w:szCs w:val="24"/>
          <w:lang w:val="en-US" w:eastAsia="zh-CN" w:bidi="ar-SA"/>
        </w:rPr>
      </w:pPr>
      <w:r>
        <w:rPr>
          <w:rFonts w:hint="eastAsia" w:ascii="宋体" w:hAnsi="宋体" w:eastAsia="宋体" w:cs="宋体"/>
          <w:b/>
          <w:bCs/>
          <w:lang w:val="en-US" w:eastAsia="zh-CN"/>
        </w:rPr>
        <w:t xml:space="preserve">    1.1.1药品采购流程重新设计</w:t>
      </w:r>
      <w:r/>
    </w:p>
    <w:p>
      <w:pPr>
        <w:ind w:firstLine="420"/>
        <w:jc w:val="left"/>
        <w:spacing w:before="100" w:beforeAutospacing="1" w:after="120" w:line="30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针对医共体牵头医院：</w:t>
      </w:r>
      <w:r/>
    </w:p>
    <w:p>
      <w:pPr>
        <w:jc w:val="left"/>
        <w:spacing w:before="100" w:beforeAutospacing="1" w:after="120" w:line="30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mc:AlternateContent>
          <mc:Choice Requires="wpg">
            <w:drawing>
              <wp:inline xmlns:wp="http://schemas.openxmlformats.org/drawingml/2006/wordprocessingDrawing" distT="0" distB="0" distL="0" distR="0">
                <wp:extent cx="5284470" cy="4450715"/>
                <wp:effectExtent l="0" t="0" r="11430" b="6985"/>
                <wp:docPr id="3" name="图片 6" descr="a4535d7b586fc1f4b6ad1101293772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a4535d7b586fc1f4b6ad1101293772d8"/>
                        <pic:cNvPicPr>
                          <a:picLocks noChangeAspect="1"/>
                        </pic:cNvPicPr>
                        <pic:nvPr/>
                      </pic:nvPicPr>
                      <pic:blipFill>
                        <a:blip r:embed="rId28"/>
                        <a:srcRect l="0" t="49975" r="0" b="11920"/>
                        <a:stretch/>
                      </pic:blipFill>
                      <pic:spPr bwMode="auto">
                        <a:xfrm>
                          <a:off x="0" y="0"/>
                          <a:ext cx="5284470" cy="44507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6.1pt;height:350.4pt;mso-wrap-distance-left:0.0pt;mso-wrap-distance-top:0.0pt;mso-wrap-distance-right:0.0pt;mso-wrap-distance-bottom:0.0pt;" stroked="false">
                <v:path textboxrect="0,0,0,0"/>
                <v:imagedata r:id="rId28" o:title=""/>
              </v:shape>
            </w:pict>
          </mc:Fallback>
        </mc:AlternateConten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w:br w:type="page" w:clear="all"/>
      </w:r>
      <w:r/>
    </w:p>
    <w:p>
      <w:pPr>
        <w:ind w:firstLine="420"/>
        <w:jc w:val="left"/>
        <w:spacing w:before="100" w:beforeAutospacing="1" w:after="120" w:line="30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针对医共体基层医疗机构：</w:t>
      </w:r>
      <w:r/>
    </w:p>
    <w:p>
      <w:pPr>
        <w:jc w:val="left"/>
        <w:spacing w:before="100" w:beforeAutospacing="1" w:after="120" w:line="300" w:lineRule="auto"/>
        <w:widowControl/>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mc:AlternateContent>
          <mc:Choice Requires="wpg">
            <w:drawing>
              <wp:inline xmlns:wp="http://schemas.openxmlformats.org/drawingml/2006/wordprocessingDrawing" distT="0" distB="0" distL="0" distR="0">
                <wp:extent cx="5253355" cy="4955540"/>
                <wp:effectExtent l="0" t="0" r="4445" b="16510"/>
                <wp:docPr id="4" name="图片 5" descr="a4535d7b586fc1f4b6ad1101293772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a4535d7b586fc1f4b6ad1101293772d8"/>
                        <pic:cNvPicPr>
                          <a:picLocks noChangeAspect="1"/>
                        </pic:cNvPicPr>
                        <pic:nvPr/>
                      </pic:nvPicPr>
                      <pic:blipFill>
                        <a:blip r:embed="rId28"/>
                        <a:srcRect l="0" t="0" r="0" b="56328"/>
                        <a:stretch/>
                      </pic:blipFill>
                      <pic:spPr bwMode="auto">
                        <a:xfrm>
                          <a:off x="0" y="0"/>
                          <a:ext cx="5253355" cy="49555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3.6pt;height:390.2pt;mso-wrap-distance-left:0.0pt;mso-wrap-distance-top:0.0pt;mso-wrap-distance-right:0.0pt;mso-wrap-distance-bottom:0.0pt;" stroked="false">
                <v:path textboxrect="0,0,0,0"/>
                <v:imagedata r:id="rId28" o:title=""/>
              </v:shape>
            </w:pict>
          </mc:Fallback>
        </mc:AlternateContent>
      </w:r>
      <w:r/>
    </w:p>
    <w:p>
      <w:pPr>
        <w:ind w:firstLine="0"/>
        <w:jc w:val="center"/>
        <w:spacing w:line="219" w:lineRule="auto"/>
        <w:rPr>
          <w:rFonts w:hint="eastAsia" w:ascii="宋体" w:hAnsi="宋体" w:eastAsia="宋体" w:cs="宋体"/>
          <w:sz w:val="28"/>
          <w:szCs w:val="28"/>
        </w:rPr>
      </w:pPr>
      <w:r>
        <w:rPr>
          <w:rFonts w:hint="eastAsia" w:ascii="宋体" w:hAnsi="宋体" w:eastAsia="宋体" w:cs="宋体"/>
          <w:sz w:val="28"/>
          <w:szCs w:val="28"/>
        </w:rPr>
      </w:r>
      <w:r/>
    </w:p>
    <w:p>
      <w:pPr>
        <w:ind w:firstLine="0"/>
        <w:rPr>
          <w:rFonts w:hint="eastAsia"/>
          <w:lang w:val="en-US" w:eastAsia="zh-CN"/>
        </w:rPr>
      </w:pPr>
      <w:r>
        <w:t xml:space="preserve">    </w:t>
      </w:r>
      <w:bookmarkStart w:id="49" w:name="bookmark26"/>
      <w:r/>
      <w:bookmarkEnd w:id="49"/>
      <w:r>
        <w:rPr>
          <w:rFonts w:hint="eastAsia" w:ascii="宋体" w:hAnsi="宋体" w:eastAsia="宋体" w:cs="宋体"/>
          <w:b/>
          <w:bCs/>
          <w:lang w:val="en-US" w:eastAsia="zh-CN"/>
        </w:rPr>
        <w:t xml:space="preserve">1.1.2与省招采平台、HIS 系统实现对接</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能够与医共体各成员单位的HIS端进行对接，包含HIS药品目录获取、省医保阳光采购平台院内目录下发、院内采购上传（选择性对接）、入库数据下载等。</w:t>
      </w:r>
      <w:r/>
    </w:p>
    <w:p>
      <w:pPr>
        <w:ind w:firstLine="0"/>
        <w:spacing w:line="240" w:lineRule="auto"/>
        <w:rPr>
          <w:rFonts w:hint="eastAsia" w:ascii="宋体" w:hAnsi="宋体" w:eastAsia="宋体" w:cs="宋体"/>
          <w:sz w:val="28"/>
          <w:szCs w:val="28"/>
        </w:rPr>
      </w:pPr>
      <w:r/>
      <w:bookmarkStart w:id="50" w:name="bookmark34"/>
      <w:r/>
      <w:bookmarkEnd w:id="50"/>
      <w:r/>
      <w:bookmarkStart w:id="51" w:name="bookmark31"/>
      <w:r/>
      <w:bookmarkEnd w:id="51"/>
      <w:r>
        <w:rPr>
          <w:rFonts w:hint="eastAsia" w:ascii="宋体" w:hAnsi="宋体" w:eastAsia="宋体" w:cs="宋体"/>
          <w:sz w:val="28"/>
          <w:szCs w:val="28"/>
        </w:rPr>
        <mc:AlternateContent>
          <mc:Choice Requires="wpg">
            <w:drawing>
              <wp:inline xmlns:wp="http://schemas.openxmlformats.org/drawingml/2006/wordprocessingDrawing" distT="0" distB="0" distL="0" distR="0">
                <wp:extent cx="5103495" cy="1898650"/>
                <wp:effectExtent l="0" t="0" r="1905" b="635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29"/>
                        <a:srcRect l="4674" t="0" r="0" b="0"/>
                        <a:stretch/>
                      </pic:blipFill>
                      <pic:spPr bwMode="auto">
                        <a:xfrm>
                          <a:off x="0" y="0"/>
                          <a:ext cx="5103495" cy="189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1.8pt;height:149.5pt;mso-wrap-distance-left:0.0pt;mso-wrap-distance-top:0.0pt;mso-wrap-distance-right:0.0pt;mso-wrap-distance-bottom:0.0pt;" stroked="f">
                <v:path textboxrect="0,0,0,0"/>
                <v:imagedata r:id="rId29" o:title=""/>
              </v:shape>
            </w:pict>
          </mc:Fallback>
        </mc:AlternateConten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1.1.3省医保药品阳光采购平台采购订单、配送明细下载全程贯通</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用 HIS 接口获取院内目录，首先对院内目录进行初步校验，并将数据匹配结果返回 HIS 目录，从而避免省医保药品阳光采购平台编码、价格、转换比等数据的错误；HIS 调用</w:t>
      </w: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接口，提交采购计划单，支持在</w:t>
      </w: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下单，平台自动将采购订单上传至省医保药品阳光采购平台。</w:t>
      </w:r>
      <w:r/>
    </w:p>
    <w:p>
      <w:pPr>
        <w:ind w:firstLine="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5273675" cy="2437130"/>
                <wp:effectExtent l="0" t="0" r="3175" b="127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30"/>
                        <a:stretch/>
                      </pic:blipFill>
                      <pic:spPr bwMode="auto">
                        <a:xfrm>
                          <a:off x="0" y="0"/>
                          <a:ext cx="5273675" cy="2437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5.2pt;height:191.9pt;mso-wrap-distance-left:0.0pt;mso-wrap-distance-top:0.0pt;mso-wrap-distance-right:0.0pt;mso-wrap-distance-bottom:0.0pt;" stroked="f">
                <v:path textboxrect="0,0,0,0"/>
                <v:imagedata r:id="rId30" o:title=""/>
              </v:shape>
            </w:pict>
          </mc:Fallback>
        </mc:AlternateConten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自动获取配送企业在省医保药品阳光采购平台上回填的配送信息。药品送货至医院时，在</w:t>
      </w: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使用 PDA 移动验收，并将验收后的验收单信息通过接口回传给 HIS，HIS 一键确认收货入库；同时</w:t>
      </w: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自动在省医保药品阳光采购平台完成验收确认。</w:t>
      </w:r>
      <w:r/>
    </w:p>
    <w:p>
      <w:pPr>
        <w:ind w:firstLine="0"/>
        <w:rPr>
          <w:rFonts w:hint="eastAsia" w:ascii="宋体" w:hAnsi="宋体" w:eastAsia="宋体" w:cs="宋体"/>
          <w:b/>
          <w:bCs/>
          <w:lang w:val="en-US" w:eastAsia="zh-CN"/>
        </w:rPr>
      </w:pPr>
      <w:r/>
      <w:bookmarkStart w:id="52" w:name="bookmark27"/>
      <w:r/>
      <w:bookmarkEnd w:id="52"/>
      <w:r>
        <w:rPr>
          <w:rFonts w:hint="eastAsia" w:ascii="宋体" w:hAnsi="宋体" w:eastAsia="宋体" w:cs="宋体"/>
          <w:b/>
          <w:bCs/>
          <w:lang w:val="en-US" w:eastAsia="zh-CN"/>
        </w:rPr>
        <w:t xml:space="preserve">    1.1.4基础数据更新功能</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实现招采平台系统和医疗机构 HIS 系统之间基础数据的实时更新，确保医疗机构能够及时获取最新的价格变动、省标代码变动等等信息。</w:t>
      </w:r>
      <w:r/>
    </w:p>
    <w:p>
      <w:pPr>
        <w:ind w:firstLine="0"/>
        <w:spacing w:line="240" w:lineRule="auto"/>
        <w:rPr>
          <w:rFonts w:hint="eastAsia" w:ascii="宋体" w:hAnsi="宋体" w:eastAsia="宋体" w:cs="宋体"/>
          <w:sz w:val="28"/>
          <w:szCs w:val="28"/>
        </w:rPr>
      </w:pPr>
      <w:r>
        <w:rPr>
          <w:rFonts w:hint="eastAsia" w:ascii="宋体" w:hAnsi="宋体" w:eastAsia="宋体" w:cs="宋体"/>
          <w:sz w:val="28"/>
          <w:szCs w:val="28"/>
        </w:rPr>
        <mc:AlternateContent>
          <mc:Choice Requires="wpg">
            <w:drawing>
              <wp:inline xmlns:wp="http://schemas.openxmlformats.org/drawingml/2006/wordprocessingDrawing" distT="0" distB="0" distL="0" distR="0">
                <wp:extent cx="5014595" cy="2150110"/>
                <wp:effectExtent l="0" t="0" r="14604" b="254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31"/>
                        <a:srcRect l="5578" t="0" r="9242" b="0"/>
                        <a:stretch/>
                      </pic:blipFill>
                      <pic:spPr bwMode="auto">
                        <a:xfrm>
                          <a:off x="0" y="0"/>
                          <a:ext cx="5014595" cy="2150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4.8pt;height:169.3pt;mso-wrap-distance-left:0.0pt;mso-wrap-distance-top:0.0pt;mso-wrap-distance-right:0.0pt;mso-wrap-distance-bottom:0.0pt;" stroked="f">
                <v:path textboxrect="0,0,0,0"/>
                <v:imagedata r:id="rId31" o:title=""/>
              </v:shape>
            </w:pict>
          </mc:Fallback>
        </mc:AlternateConten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每天晚上定时前置服务模块自动对比 HIS 系统与省医保药品阳光采购平台上在用的药品基础信息数据，并生成提醒报告。</w:t>
      </w:r>
      <w:r/>
    </w:p>
    <w:p>
      <w:pPr>
        <w:ind w:firstLine="0"/>
        <w:rPr>
          <w:rFonts w:hint="eastAsia" w:ascii="宋体" w:hAnsi="宋体" w:eastAsia="宋体" w:cs="宋体"/>
          <w:b/>
          <w:bCs/>
          <w:lang w:val="en-US" w:eastAsia="zh-CN"/>
        </w:rPr>
      </w:pPr>
      <w:r>
        <w:t xml:space="preserve">    </w:t>
      </w:r>
      <w:bookmarkStart w:id="53" w:name="bookmark28"/>
      <w:r/>
      <w:bookmarkEnd w:id="53"/>
      <w:r>
        <w:rPr>
          <w:rFonts w:hint="eastAsia" w:ascii="宋体" w:hAnsi="宋体" w:eastAsia="宋体" w:cs="宋体"/>
          <w:b/>
          <w:bCs/>
          <w:lang w:val="en-US" w:eastAsia="zh-CN"/>
        </w:rPr>
        <w:t xml:space="preserve">1.1.5省级挂网目录</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支持维护省级挂网目录信息，主要包括药品的药品编码、医保代码、商品名称、规格、包装信息、剂型、生产厂家、批准文号、基药属性、医保属性、采购限价等标准数据信息。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支持根据药品编码、医保代码、药品名称、生产企业、基药属性、项目名称、挂网状态等条件筛选省级挂网目录数据。</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1.1.6统一目录</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维护医共体内统一目录信息，主要包括药品的药品编码、医保代码、商品名称、规格、包装信息、剂型、生产企业、批准文号、基药属性、医保属性、采购限价、统一目录状态及药品自定义属性维护等标准数据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支持根据药品编码、药品名称、生产企业、基药属性、项目名称、统一目录状态、挂网、统一目录标识等条件筛选统一目录数据。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支持从省级挂网目录的挂网状态为启用的数据里新增统一目录的药品。也支持excel表格将统一目录数据导入至</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系统。</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1.1.7院内目录</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同步医院的省招采平台常用院内目录信息，支持定时、手动同步两种机制。主要同步信息有药品编码、医保代码、药品名称、商品名称、规格、包装信息、剂型、生产企业、采购价格、采购限价、默认配送企业等关键字典数据。</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1.1.8新增药品</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疗机构超目录采购药品申请，统一从医共体统一目录遴选药品，统一新药申请提交。申请时需填写药品的具体采购理由、预计采购数量、使用科室等详细信息，系统自动关联该药品在统一目录中的基础数据，避免重复录入。同时，支持上传相关的临床需求证明材料，如专家论证意见、患者病情说明等，以辅助后续审核流程的顺利开展。提交申请后，系统会实时生成申请单号，并通过消息通知相关负责人进行处理，确保申请过程可追溯、可监控。</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1.1.9新增药品审核</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支持医共体药事管理人员进行医疗机构新增药品申请单据进行审核，审核通过后，遴选增加进采购目录，方可进行药品采购。</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1.1.10变更药品</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支持医疗机构的药品用药变更申请，统一从医共体体目录中遴选药品，统一变更审核单提交。</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1.1.11变更审核</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支持医共体药事管理人员进行医疗机构变更药品申请单据进行审核，审核通过后，遴选到采购目录并关联药品禁用，启用变更药品，进行采购。</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1.1.12配送地址管理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支持医疗机构常用配送地址维护，主要有联系人、库房名称、配送详细地址等。</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1.1.13配送企业目录管理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支持配送企业名单管理，主要信息配送企业社会信用代码、配送企业名称。</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1.1.14配送关系管理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支持药品的有效配送关系管理，超配送关系范围报错提醒，不允许采购。</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1.2供应链协同作业机制模块</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1.2.1采购计划新建</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支持医疗机构发起采购需求计划，编辑药品采购信息，主要有药品名称、规格、生产企业、采购数量、药品的配送企业等。</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1.2.2提交计划单</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支持医共体各成员单位采购计划上报，可通过院内HIS上传至</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系统或者直接在</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系统中结合库存生成采购订单，各医疗机构进行采购数据调整后统一在系统进行提交。</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1.2.3审核计划单</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审核人员对采购需求计划审核。根据药品采购管理要求，设置审核流程，逐级审核。支持审核层级及审核岗位的灵活设置。</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1.2.4采购订单上传</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院内采购订单上传省招采平台，主数据有药品名称、采购数量、配送企业、配送地址等。支持</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建单、提交订单、上传订单业务模式。</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1.2.5药品配送下载</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配送企业接收订单，省招采平台回填发货信息后，</w:t>
      </w:r>
      <w:r>
        <w:rPr>
          <w:rFonts w:hint="eastAsia" w:ascii="宋体" w:hAnsi="宋体" w:eastAsia="宋体" w:cs="宋体"/>
          <w:sz w:val="28"/>
          <w:szCs w:val="28"/>
          <w:lang w:eastAsia="zh-CN"/>
        </w:rPr>
        <w:t xml:space="preserve">医共体云药房</w:t>
      </w:r>
      <w:r>
        <w:rPr>
          <w:rFonts w:hint="eastAsia" w:ascii="宋体" w:hAnsi="宋体" w:eastAsia="宋体" w:cs="宋体"/>
          <w:sz w:val="28"/>
          <w:szCs w:val="28"/>
        </w:rPr>
        <w:t xml:space="preserve">进行发货信息下载，主数据有发货企业、发货数量、批号、效期、发票号等，支持定时任务、手动下载两种触发机制。</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1.2.6收货单生成</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根据省招采平台的配送明细，生成收货单。</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1.2.7收货确认</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根据药品的发货信息（配送企业、药品名称、批号、效期、发票等），进行药品确认收货工作，收货完成的数据省招采平台自动回传，完成业务闭环，无需验收入库后重复登录省平台确认收货操作，提高工作效率，降低人工成本，保证院内外收货数据一致，提高网采率。</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1.3数据分析与监管功能模块</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1.3.1医疗机构药品采购统计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支持针对医疗机构药品采购的多维度进行筛选，生成详细的采购明细报表，同时支持数据导出功能，方便医疗机构进行采购数据的进一步分析与存档，为药品采购决策提供数据支持。</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1.3.2医疗机构采购金额统计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按不同时间周期生成采购金额趋势图表，直观展示金额变化规律。对于基药金额与非基药金额的占比分析，系统可自动计算并以饼图或柱状图形式呈现，帮助管理者快速掌握基药政策的执行情况。此外，支持按药品分类进行采购金额细分统计，便于了解各类药品的资金投入占比，为优化采购结构提供数据依据。</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1.3.3医疗机构药品采购TOP排名统计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医疗机构药品采购TOP查询，比如TOP10、TOP50、自定义TOP的采购数量及采购金额情况查询。</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1.3.4供应商采购金额统计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支持统计时间段内，以供应商为维度，查看医院药品从各供应商药品采购的报表统计情况，主要供应商采购金额及占比情况。</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1.3.5监控大屏（驾驶舱）</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医共体药品统一目录监管、药品统一采购/审批监管。以及医共体/基本用药采购使用情况的TOP排名。</w:t>
      </w:r>
      <w:r/>
    </w:p>
    <w:p>
      <w:pPr>
        <w:ind w:firstLine="560"/>
        <w:spacing w:line="360" w:lineRule="auto"/>
        <w:rPr>
          <w:rFonts w:hint="eastAsia" w:ascii="宋体" w:hAnsi="宋体" w:eastAsia="宋体" w:cs="宋体"/>
          <w:color w:val="000000"/>
          <w:spacing w:val="-2"/>
          <w:sz w:val="28"/>
          <w:szCs w:val="28"/>
        </w:rPr>
      </w:pPr>
      <w:r>
        <w:rPr>
          <w:rFonts w:hint="eastAsia" w:ascii="宋体" w:hAnsi="宋体" w:eastAsia="宋体" w:cs="宋体"/>
          <w:sz w:val="28"/>
          <w:szCs w:val="28"/>
        </w:rPr>
        <w:t xml:space="preserve">提供全业务流程透明化、可视化。平台数据，驾驶舱可视化展示，给决策层提供有力的数据支撑。</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1.4云药房药品联动保障模块</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1.4.1余缺药品登记</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支持各医疗机构进行余缺药品登记。登记内容包含联系人、联系方式、药品名称、余缺类型、上报量、批号、效期、国家医保代码、药品</w:t>
      </w:r>
      <w:r>
        <w:rPr>
          <w:rFonts w:hint="eastAsia" w:ascii="宋体" w:hAnsi="宋体" w:eastAsia="宋体" w:cs="宋体"/>
          <w:spacing w:val="-2"/>
          <w:sz w:val="28"/>
          <w:szCs w:val="28"/>
        </w:rPr>
        <w:t xml:space="preserve">编码</w:t>
      </w:r>
      <w:r>
        <w:rPr>
          <w:rFonts w:hint="eastAsia" w:ascii="宋体" w:hAnsi="宋体" w:eastAsia="宋体" w:cs="宋体"/>
          <w:sz w:val="28"/>
          <w:szCs w:val="28"/>
        </w:rPr>
        <w:t xml:space="preserve">、规格、采购价格、生产企业、项目名称等内容。支持在各医疗机构的院内目录中选择新增药品进行余缺药品的登记上报。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针对余缺药品上报后的调拨状态进行查看。调拨详情包括提交余缺药品登记的医疗机构名称、登记状态、提交时间。也包括发起调拨的医疗机构名称、发起调拨的时间、医疗机构入库的时间，调拨数量、联系人和联系方式等信息。</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支持针对余缺药品登记超过7天的药品进行预警提示，各医疗机构及时进行上报。支持对余缺药品登记上报后进行撤单处理。</w:t>
      </w:r>
      <w:r/>
    </w:p>
    <w:p>
      <w:pPr>
        <w:ind w:firstLine="0"/>
        <w:rPr>
          <w:rFonts w:hint="eastAsia" w:ascii="宋体" w:hAnsi="宋体" w:eastAsia="宋体" w:cs="宋体"/>
          <w:b/>
          <w:bCs/>
          <w:lang w:val="en-US" w:eastAsia="en-US"/>
        </w:rPr>
      </w:pPr>
      <w:r>
        <w:rPr>
          <w:rFonts w:hint="eastAsia" w:ascii="宋体" w:hAnsi="宋体" w:eastAsia="宋体" w:cs="宋体"/>
          <w:b/>
          <w:bCs/>
          <w:lang w:val="en-US" w:eastAsia="zh-CN"/>
        </w:rPr>
        <w:t xml:space="preserve">    1.4.2余缺药品列表</w:t>
      </w:r>
      <w:r/>
    </w:p>
    <w:p>
      <w:pPr>
        <w:ind w:firstLine="420"/>
        <w:jc w:val="left"/>
        <w:spacing w:line="360" w:lineRule="auto"/>
        <w:rPr>
          <w:rFonts w:hint="eastAsia" w:ascii="宋体" w:hAnsi="宋体" w:eastAsia="宋体" w:cs="宋体"/>
          <w:spacing w:val="-2"/>
          <w:sz w:val="28"/>
          <w:szCs w:val="28"/>
        </w:rPr>
      </w:pPr>
      <w:r>
        <w:rPr>
          <w:rFonts w:hint="eastAsia" w:ascii="宋体" w:hAnsi="宋体" w:eastAsia="宋体" w:cs="宋体"/>
          <w:color w:val="000000"/>
          <w:spacing w:val="-2"/>
          <w:sz w:val="28"/>
          <w:szCs w:val="28"/>
        </w:rPr>
        <w:t xml:space="preserve"> 支持实时监控医共体内各成员单位的药品余缺情况，</w:t>
      </w:r>
      <w:r>
        <w:rPr>
          <w:rFonts w:hint="eastAsia" w:ascii="宋体" w:hAnsi="宋体" w:eastAsia="宋体" w:cs="宋体"/>
          <w:spacing w:val="-2"/>
          <w:sz w:val="28"/>
          <w:szCs w:val="28"/>
        </w:rPr>
        <w:t xml:space="preserve">余缺药品列表包含积压列表和短缺药品列表。字段包含并不限于余缺药品登记单号、单据状态、药品名称、国家医保代码、药品编码、批号、效期、采购价格、生产企业、项目名称、上报机构、创建时间、上报量和调拨药品数量。</w:t>
      </w:r>
      <w:r/>
    </w:p>
    <w:p>
      <w:pPr>
        <w:ind w:firstLine="0"/>
        <w:rPr>
          <w:rFonts w:hint="eastAsia" w:ascii="宋体" w:hAnsi="宋体" w:eastAsia="宋体" w:cs="宋体"/>
          <w:b/>
          <w:bCs/>
          <w:lang w:val="en-US" w:eastAsia="en-US"/>
        </w:rPr>
      </w:pPr>
      <w:r>
        <w:rPr>
          <w:rFonts w:hint="eastAsia" w:ascii="宋体" w:hAnsi="宋体" w:eastAsia="宋体" w:cs="宋体"/>
          <w:b/>
          <w:bCs/>
          <w:lang w:val="en-US" w:eastAsia="zh-CN"/>
        </w:rPr>
        <w:t xml:space="preserve">    1.4.3余缺药品调拨审核</w:t>
      </w:r>
      <w:r/>
    </w:p>
    <w:p>
      <w:pPr>
        <w:ind w:firstLine="420"/>
        <w:jc w:val="left"/>
        <w:spacing w:line="360" w:lineRule="auto"/>
        <w:rPr>
          <w:rFonts w:hint="eastAsia" w:ascii="宋体" w:hAnsi="宋体" w:eastAsia="宋体" w:cs="宋体"/>
          <w:color w:val="000000"/>
          <w:spacing w:val="-2"/>
          <w:sz w:val="28"/>
          <w:szCs w:val="28"/>
        </w:rPr>
      </w:pPr>
      <w:r>
        <w:rPr>
          <w:rFonts w:hint="eastAsia" w:ascii="宋体" w:hAnsi="宋体" w:eastAsia="宋体" w:cs="宋体"/>
          <w:color w:val="000000"/>
          <w:spacing w:val="-2"/>
          <w:sz w:val="28"/>
          <w:szCs w:val="28"/>
        </w:rPr>
        <w:t xml:space="preserve"> 支持根据医共体内部审核管理权限，对于发起调拨申请的医疗机构进行余缺调拨的审核。支持查询调拨单号</w:t>
      </w:r>
      <w:r>
        <w:rPr>
          <w:rFonts w:hint="eastAsia" w:ascii="宋体" w:hAnsi="宋体" w:eastAsia="宋体" w:cs="宋体"/>
          <w:spacing w:val="-2"/>
          <w:sz w:val="28"/>
          <w:szCs w:val="28"/>
        </w:rPr>
        <w:t xml:space="preserve">、登记单号、药</w:t>
      </w:r>
      <w:r>
        <w:rPr>
          <w:rFonts w:hint="eastAsia" w:ascii="宋体" w:hAnsi="宋体" w:eastAsia="宋体" w:cs="宋体"/>
          <w:color w:val="000000"/>
          <w:spacing w:val="-2"/>
          <w:sz w:val="28"/>
          <w:szCs w:val="28"/>
        </w:rPr>
        <w:t xml:space="preserve">品名称、医疗机构、审核状态、提交时间等信息。</w:t>
      </w:r>
      <w:r/>
    </w:p>
    <w:p>
      <w:pPr>
        <w:ind w:firstLine="0"/>
        <w:rPr>
          <w:rFonts w:hint="eastAsia" w:ascii="宋体" w:hAnsi="宋体" w:eastAsia="宋体" w:cs="宋体"/>
          <w:b/>
          <w:bCs/>
          <w:lang w:val="en-US" w:eastAsia="en-US"/>
        </w:rPr>
      </w:pPr>
      <w:r>
        <w:rPr>
          <w:rFonts w:hint="eastAsia" w:ascii="宋体" w:hAnsi="宋体" w:eastAsia="宋体" w:cs="宋体"/>
          <w:b/>
          <w:bCs/>
          <w:lang w:val="en-US" w:eastAsia="zh-CN"/>
        </w:rPr>
        <w:t xml:space="preserve">    1.4.4余缺药品出库管理</w:t>
      </w:r>
      <w:r/>
    </w:p>
    <w:p>
      <w:pPr>
        <w:ind w:firstLine="420"/>
        <w:jc w:val="left"/>
        <w:spacing w:line="360" w:lineRule="auto"/>
        <w:rPr>
          <w:rFonts w:hint="eastAsia" w:ascii="宋体" w:hAnsi="宋体" w:eastAsia="宋体" w:cs="宋体"/>
          <w:spacing w:val="-2"/>
          <w:sz w:val="28"/>
          <w:szCs w:val="28"/>
        </w:rPr>
      </w:pPr>
      <w:r>
        <w:rPr>
          <w:rFonts w:hint="eastAsia" w:ascii="宋体" w:hAnsi="宋体" w:eastAsia="宋体" w:cs="宋体"/>
          <w:spacing w:val="-2"/>
          <w:sz w:val="28"/>
          <w:szCs w:val="28"/>
        </w:rPr>
        <w:t xml:space="preserve"> 支持进行余缺药品登记的医共体各成员单位进行余缺药品出库管理，支持区分待出库和已出库信息。支持针对调拨单号、创建时间、药品名称、国家医保代码、单据类型、入库机构、登记单号进行筛选。</w:t>
      </w:r>
      <w:r/>
    </w:p>
    <w:p>
      <w:pPr>
        <w:ind w:firstLine="0"/>
        <w:rPr>
          <w:rFonts w:hint="eastAsia" w:ascii="宋体" w:hAnsi="宋体" w:eastAsia="宋体" w:cs="宋体"/>
          <w:b/>
          <w:bCs/>
          <w:lang w:val="en-US" w:eastAsia="en-US"/>
        </w:rPr>
      </w:pPr>
      <w:r>
        <w:rPr>
          <w:rFonts w:hint="eastAsia" w:ascii="宋体" w:hAnsi="宋体" w:eastAsia="宋体" w:cs="宋体"/>
          <w:b/>
          <w:bCs/>
          <w:lang w:val="en-US" w:eastAsia="zh-CN"/>
        </w:rPr>
        <w:t xml:space="preserve">    1.4.5余缺药品入库管理</w:t>
      </w:r>
      <w:r/>
    </w:p>
    <w:p>
      <w:pPr>
        <w:ind w:firstLine="420"/>
        <w:jc w:val="left"/>
        <w:spacing w:line="360" w:lineRule="auto"/>
        <w:rPr>
          <w:rFonts w:hint="eastAsia" w:ascii="宋体" w:hAnsi="宋体" w:eastAsia="宋体" w:cs="宋体"/>
          <w:sz w:val="28"/>
          <w:szCs w:val="28"/>
        </w:rPr>
      </w:pPr>
      <w:r>
        <w:rPr>
          <w:rFonts w:hint="eastAsia" w:ascii="宋体" w:hAnsi="宋体" w:eastAsia="宋体" w:cs="宋体"/>
          <w:spacing w:val="-2"/>
          <w:sz w:val="28"/>
          <w:szCs w:val="28"/>
        </w:rPr>
        <w:t xml:space="preserve"> 支持发起余缺药品调拨的医共体各成员单位进行余缺药品入库管理，支持区分待入库和已入库信息。支持针对调拨单号、创建时间、药品名称、国家医保代码、单据类型、入库机构、登记单号进行筛选。</w:t>
      </w:r>
      <w:r/>
    </w:p>
    <w:p>
      <w:pPr>
        <w:ind w:firstLine="0"/>
        <w:rPr>
          <w:rFonts w:hint="eastAsia" w:ascii="宋体" w:hAnsi="宋体" w:eastAsia="宋体" w:cs="宋体"/>
          <w:b/>
          <w:bCs/>
          <w:lang w:val="en-US" w:eastAsia="en-US"/>
        </w:rPr>
      </w:pPr>
      <w:r>
        <w:rPr>
          <w:rFonts w:hint="eastAsia" w:ascii="宋体" w:hAnsi="宋体" w:eastAsia="宋体" w:cs="宋体"/>
          <w:b/>
          <w:bCs/>
          <w:lang w:val="en-US" w:eastAsia="zh-CN"/>
        </w:rPr>
        <w:t xml:space="preserve">    1.4.6余缺药品调拨查询</w:t>
      </w:r>
      <w:r/>
    </w:p>
    <w:p>
      <w:pPr>
        <w:ind w:firstLine="420"/>
        <w:jc w:val="left"/>
        <w:spacing w:line="360" w:lineRule="auto"/>
        <w:rPr>
          <w:rFonts w:hint="eastAsia" w:ascii="宋体" w:hAnsi="宋体" w:eastAsia="宋体" w:cs="宋体"/>
          <w:spacing w:val="-2"/>
          <w:sz w:val="28"/>
          <w:szCs w:val="28"/>
        </w:rPr>
      </w:pPr>
      <w:r>
        <w:rPr>
          <w:rFonts w:hint="eastAsia" w:ascii="宋体" w:hAnsi="宋体" w:eastAsia="宋体" w:cs="宋体"/>
          <w:spacing w:val="-2"/>
          <w:sz w:val="28"/>
          <w:szCs w:val="28"/>
        </w:rPr>
        <w:t xml:space="preserve"> 支持针对余缺药品调拨记录进行查询。支持针对调拨单号、提交时间、药品名称、国家医保代码、单据类型、入库机构、出库机构、登记单号进行查询。调拨记录包括调拨单号、登记单号、单据类型、药品名称、国家医保代码、规格、调拨数量、入库机构、出库机构、当前节点、提交时间等信息。</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1.4.7联动存储分拨响应</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对各医共体成员单位上报的余缺药品进行查询，查询信息包括上报药品的登记单号、单据类型、上报机构、药品名称、国家医保代码、省平台编码、批号、效期、规格、生产企业、采购价格、项目名称、调拨状态、积压量/短缺量、单据状态等信息，并支持</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对各医共体成员单位上报的余缺药品进行调拨。</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1.4.8联动存储分拨记录</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支持查询调拨状态，包括调拨单号、登记单号、单据类型、药品名称、国家医保代码、规格、调拨数量、入库机构、出库机构、当前节点等信息。</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1.4.9医疗机构间药品调拨管理</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支持各医共体成员单位在</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系统进行余缺药品的登记上报。支持逐条进行余缺药品的登记，也支持批量上报。</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支持各家成员单位统一从</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系统进行药品余缺调度申请，</w:t>
      </w:r>
      <w:r>
        <w:rPr>
          <w:rFonts w:hint="eastAsia" w:ascii="宋体" w:hAnsi="宋体" w:eastAsia="宋体" w:cs="宋体"/>
          <w:sz w:val="28"/>
          <w:szCs w:val="28"/>
          <w:lang w:eastAsia="zh-CN"/>
        </w:rPr>
        <w:t xml:space="preserve">云药房</w:t>
      </w:r>
      <w:r>
        <w:rPr>
          <w:rFonts w:hint="eastAsia" w:ascii="宋体" w:hAnsi="宋体" w:eastAsia="宋体" w:cs="宋体"/>
          <w:sz w:val="28"/>
          <w:szCs w:val="28"/>
        </w:rPr>
        <w:t xml:space="preserve">系统接收余缺调度单，进行药品的出库确认、基层医疗机构接收短缺药品的流程管理。</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1.4.10近效期药品提醒追踪</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支持医共体各成员单位的药品名称、生产企业、规格型号、批号、数量、存储位置、有效期、剩余效期进行效期警示及处置结果的追踪查询。支持根据时间条件进行检索。</w:t>
      </w:r>
      <w:r/>
    </w:p>
    <w:p>
      <w:pPr>
        <w:ind w:firstLine="0"/>
        <w:rPr>
          <w:rFonts w:hint="eastAsia" w:ascii="宋体" w:hAnsi="宋体" w:eastAsia="宋体" w:cs="宋体"/>
          <w:b/>
          <w:bCs/>
          <w:lang w:val="en-US" w:eastAsia="zh-CN"/>
        </w:rPr>
      </w:pPr>
      <w:r>
        <w:rPr>
          <w:rFonts w:hint="eastAsia" w:ascii="宋体" w:hAnsi="宋体" w:eastAsia="宋体" w:cs="宋体"/>
          <w:b/>
          <w:bCs/>
          <w:lang w:val="en-US" w:eastAsia="zh-CN"/>
        </w:rPr>
        <w:t xml:space="preserve">    1.4.11药品库存监控</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支持医共体各成员单位药库的库存实时监控。监控内容包含但不限于以下内容：日期、药品名称、生产企业、规格型号、批号、数量、库存位置、有效期、剩余效期、库存量等内容。</w:t>
      </w:r>
      <w:r/>
    </w:p>
    <w:p>
      <w:pPr>
        <w:ind w:firstLine="0"/>
        <w:rPr>
          <w:rFonts w:hint="eastAsia" w:ascii="宋体" w:hAnsi="宋体" w:eastAsia="宋体" w:cs="宋体"/>
          <w:b/>
          <w:sz w:val="28"/>
          <w:szCs w:val="24"/>
          <w:lang w:val="en-US" w:eastAsia="zh-CN" w:bidi="ar-SA"/>
        </w:rPr>
      </w:pPr>
      <w:r>
        <w:rPr>
          <w:rFonts w:hint="eastAsia" w:ascii="宋体" w:hAnsi="宋体" w:eastAsia="宋体" w:cs="宋体"/>
          <w:b/>
          <w:sz w:val="28"/>
          <w:szCs w:val="24"/>
          <w:lang w:val="en-US" w:eastAsia="zh-CN" w:bidi="ar-SA"/>
        </w:rPr>
        <w:t xml:space="preserve">    1.4.12个性化用药登记</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各医疗机构进行个性化用药登记，满足各医疗机构的个性化用药需求。登记内容包含患者姓名、患者性别、出生年月、身份证号、医保账号、联系方式、疾病诊断、申请药品理由等信息。支持在省级挂网目录中新增个性化用药的药品信息。</w:t>
      </w:r>
      <w:r/>
    </w:p>
    <w:p>
      <w:pPr>
        <w:ind w:firstLine="0"/>
        <w:rPr>
          <w:rFonts w:hint="eastAsia" w:ascii="宋体" w:hAnsi="宋体" w:eastAsia="宋体" w:cs="宋体"/>
          <w:b/>
          <w:sz w:val="28"/>
          <w:szCs w:val="24"/>
          <w:lang w:val="en-US" w:eastAsia="zh-CN" w:bidi="ar-SA"/>
        </w:rPr>
      </w:pPr>
      <w:r>
        <w:rPr>
          <w:rFonts w:hint="eastAsia" w:ascii="宋体" w:hAnsi="宋体" w:eastAsia="宋体" w:cs="宋体"/>
          <w:b/>
          <w:sz w:val="28"/>
          <w:szCs w:val="24"/>
          <w:lang w:val="en-US" w:eastAsia="zh-CN" w:bidi="ar-SA"/>
        </w:rPr>
        <w:t xml:space="preserve">    1.4.13短缺药品监测预警</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支持医共体各成员单位的药品编码、药品名称、规格、剂型、包装信息、生产企业、采购数量、配送数量、配送完成率进行短缺药品的监测预警查询。支持根据时间条件进行检索。</w:t>
      </w:r>
      <w:r/>
    </w:p>
    <w:p>
      <w:pPr>
        <w:ind w:firstLine="0"/>
        <w:rPr>
          <w:rFonts w:hint="eastAsia" w:ascii="宋体" w:hAnsi="宋体" w:eastAsia="宋体" w:cs="宋体"/>
          <w:b/>
          <w:sz w:val="28"/>
          <w:szCs w:val="24"/>
          <w:lang w:val="en-US" w:eastAsia="zh-CN" w:bidi="ar-SA"/>
        </w:rPr>
      </w:pPr>
      <w:r>
        <w:rPr>
          <w:rFonts w:hint="eastAsia" w:ascii="宋体" w:hAnsi="宋体" w:eastAsia="宋体" w:cs="宋体"/>
          <w:b/>
          <w:sz w:val="28"/>
          <w:szCs w:val="24"/>
          <w:lang w:val="en-US" w:eastAsia="zh-CN" w:bidi="ar-SA"/>
        </w:rPr>
        <w:t xml:space="preserve">    1.4.14急抢救药品储备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建立常用药品、季节性疾病药品、急（抢）救药品储备量，支持医共体管理人员结合各家成员单位药品库存数量、效期及地理位置，多维度进行药品调拨决策。同时也支持当某机构药品短缺时，快速发起跨机构调拨申请由医共体管理人员进行调拨审核完成短缺药品调拨工作。</w:t>
      </w:r>
      <w:r/>
    </w:p>
    <w:p>
      <w:pPr>
        <w:ind w:firstLine="0"/>
        <w:rPr>
          <w:rFonts w:hint="eastAsia" w:ascii="宋体" w:hAnsi="宋体" w:eastAsia="宋体" w:cs="宋体"/>
          <w:b/>
          <w:sz w:val="28"/>
          <w:szCs w:val="24"/>
          <w:lang w:val="en-US" w:eastAsia="zh-CN" w:bidi="ar-SA"/>
        </w:rPr>
      </w:pPr>
      <w:r>
        <w:rPr>
          <w:rFonts w:hint="eastAsia" w:ascii="宋体" w:hAnsi="宋体" w:eastAsia="宋体" w:cs="宋体"/>
          <w:b/>
          <w:sz w:val="28"/>
          <w:szCs w:val="24"/>
          <w:lang w:val="en-US" w:eastAsia="zh-CN" w:bidi="ar-SA"/>
        </w:rPr>
        <w:t xml:space="preserve">    4.建设周期</w:t>
      </w:r>
      <w:r/>
    </w:p>
    <w:p>
      <w:pPr>
        <w:ind w:firstLine="560"/>
        <w:spacing w:line="240" w:lineRule="auto"/>
        <w:rPr>
          <w:rFonts w:hint="eastAsia" w:ascii="宋体" w:hAnsi="宋体" w:eastAsia="宋体" w:cs="宋体"/>
          <w:b/>
          <w:bCs/>
          <w:sz w:val="28"/>
          <w:szCs w:val="28"/>
          <w:lang w:val="en-US" w:eastAsia="zh-CN"/>
        </w:rPr>
      </w:pPr>
      <w:r>
        <w:rPr>
          <w:rFonts w:hint="eastAsia" w:ascii="宋体" w:hAnsi="宋体" w:eastAsia="宋体" w:cs="宋体"/>
          <w:sz w:val="28"/>
          <w:szCs w:val="28"/>
        </w:rPr>
        <w:t xml:space="preserve">本项目建设周期为</w:t>
      </w: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个月</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包括试运行3个月）</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实施进度计划表如下：</w:t>
      </w:r>
      <w:r/>
    </w:p>
    <w:tbl>
      <w:tblPr>
        <w:tblStyle w:val="109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1"/>
        <w:gridCol w:w="898"/>
        <w:gridCol w:w="881"/>
        <w:gridCol w:w="934"/>
        <w:gridCol w:w="934"/>
        <w:gridCol w:w="934"/>
        <w:gridCol w:w="874"/>
        <w:gridCol w:w="874"/>
        <w:gridCol w:w="875"/>
        <w:gridCol w:w="875"/>
      </w:tblGrid>
      <w:tr>
        <w:trPr>
          <w:trHeight w:val="312"/>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任务名称</w:t>
            </w:r>
            <w:r/>
          </w:p>
        </w:tc>
        <w:tc>
          <w:tcPr>
            <w:tcW w:w="77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T+1月</w:t>
            </w:r>
            <w:r/>
          </w:p>
        </w:tc>
        <w:tc>
          <w:tcPr>
            <w:tcW w:w="76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T+2月</w:t>
            </w:r>
            <w:r/>
          </w:p>
        </w:tc>
        <w:tc>
          <w:tcPr>
            <w:tcW w:w="8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T+3月</w:t>
            </w:r>
            <w:r/>
          </w:p>
        </w:tc>
        <w:tc>
          <w:tcPr>
            <w:tcW w:w="8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T+4月</w:t>
            </w:r>
            <w:r/>
          </w:p>
        </w:tc>
        <w:tc>
          <w:tcPr>
            <w:tcW w:w="8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T+5月</w:t>
            </w:r>
            <w:r/>
          </w:p>
        </w:tc>
        <w:tc>
          <w:tcPr>
            <w:tcW w:w="7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T+6月</w:t>
            </w:r>
            <w:r/>
          </w:p>
        </w:tc>
        <w:tc>
          <w:tcPr>
            <w:tcW w:w="7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T+7月</w:t>
            </w:r>
            <w:r/>
          </w:p>
        </w:tc>
        <w:tc>
          <w:tcPr>
            <w:tcW w:w="7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T+8月</w:t>
            </w:r>
            <w:r/>
          </w:p>
        </w:tc>
        <w:tc>
          <w:tcPr>
            <w:tcW w:w="7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
                <w:bCs/>
                <w:sz w:val="28"/>
                <w:szCs w:val="28"/>
              </w:rPr>
              <w:suppressLineNumbers w:val="0"/>
            </w:pPr>
            <w:r>
              <w:rPr>
                <w:rFonts w:hint="eastAsia" w:ascii="宋体" w:hAnsi="宋体" w:eastAsia="宋体" w:cs="宋体"/>
                <w:b/>
                <w:bCs/>
                <w:sz w:val="28"/>
                <w:szCs w:val="28"/>
              </w:rPr>
              <w:t xml:space="preserve">T+9月</w:t>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项目启动</w:t>
            </w:r>
            <w:r/>
          </w:p>
        </w:tc>
        <w:tc>
          <w:tcPr>
            <w:shd w:val="clear" w:color="auto" w:fill="4874cb"/>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需求调研</w:t>
            </w:r>
            <w:r/>
          </w:p>
        </w:tc>
        <w:tc>
          <w:tcPr>
            <w:shd w:val="clear" w:color="auto" w:fill="4874cb"/>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基础数据、硬件、网络准备</w:t>
            </w:r>
            <w:r/>
          </w:p>
        </w:tc>
        <w:tc>
          <w:tcPr>
            <w:shd w:val="clear" w:color="auto" w:fill="4874cb"/>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系统设计、开发、部署、对接</w:t>
            </w:r>
            <w:r/>
          </w:p>
        </w:tc>
        <w:tc>
          <w:tcPr>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联调测试</w:t>
            </w:r>
            <w:r/>
          </w:p>
        </w:tc>
        <w:tc>
          <w:tcPr>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auto"/>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用户培训</w:t>
            </w:r>
            <w:r/>
          </w:p>
        </w:tc>
        <w:tc>
          <w:tcPr>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auto"/>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试运行</w:t>
            </w:r>
            <w:r/>
          </w:p>
        </w:tc>
        <w:tc>
          <w:tcPr>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4874cb"/>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4874cb"/>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shd w:val="clear" w:color="auto" w:fill="auto"/>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项目评估</w:t>
            </w:r>
            <w:r/>
          </w:p>
        </w:tc>
        <w:tc>
          <w:tcPr>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57"/>
        </w:trPr>
        <w:tc>
          <w:tcPr>
            <w:tcW w:w="1532"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项目验收</w:t>
            </w:r>
            <w:r/>
          </w:p>
        </w:tc>
        <w:tc>
          <w:tcPr>
            <w:tcW w:w="777"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62"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808"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shd w:val="clear" w:color="auto" w:fill="4874cb"/>
            <w:tcW w:w="756"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right="0" w:firstLine="0"/>
        <w:jc w:val="both"/>
        <w:keepLines w:val="0"/>
        <w:keepNext w:val="0"/>
        <w:spacing w:before="0" w:beforeAutospacing="0" w:after="0" w:afterAutospacing="0" w:line="360" w:lineRule="auto"/>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en-US" w:eastAsia="zh-CN" w:bidi="ar"/>
        </w:rPr>
        <w:t xml:space="preserve"> </w:t>
      </w:r>
      <w:r/>
    </w:p>
    <w:p>
      <w:pPr>
        <w:ind w:left="0" w:firstLine="0"/>
        <w:rPr>
          <w:rFonts w:hint="eastAsia" w:ascii="宋体" w:hAnsi="宋体" w:eastAsia="宋体" w:cs="宋体"/>
          <w:b/>
          <w:sz w:val="28"/>
          <w:szCs w:val="24"/>
          <w:lang w:val="en-US" w:eastAsia="zh-CN" w:bidi="ar-SA"/>
        </w:rPr>
      </w:pPr>
      <w:r>
        <w:rPr>
          <w:rFonts w:hint="eastAsia" w:ascii="宋体" w:hAnsi="宋体" w:eastAsia="宋体" w:cs="宋体"/>
          <w:b/>
          <w:sz w:val="28"/>
          <w:szCs w:val="24"/>
          <w:lang w:val="en-US" w:eastAsia="zh-CN" w:bidi="ar-SA"/>
        </w:rPr>
        <w:t xml:space="preserve">二、采购清单</w:t>
      </w:r>
      <w:r/>
    </w:p>
    <w:tbl>
      <w:tblPr>
        <w:tblStyle w:val="1152"/>
        <w:tblW w:w="501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89"/>
        <w:gridCol w:w="7280"/>
      </w:tblGrid>
      <w:tr>
        <w:trPr>
          <w:trHeight w:val="324"/>
        </w:trPr>
        <w:tc>
          <w:tcPr>
            <w:tcW w:w="1235" w:type="pct"/>
            <w:vAlign w:val="center"/>
            <w:vMerge w:val="restart"/>
            <w:textDirection w:val="lrTb"/>
            <w:noWrap w:val="false"/>
          </w:tcPr>
          <w:p>
            <w:pPr>
              <w:ind w:firstLine="0"/>
              <w:jc w:val="both"/>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医共体云药房</w:t>
            </w:r>
            <w:r/>
          </w:p>
        </w:tc>
        <w:tc>
          <w:tcPr>
            <w:tcW w:w="3764"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医共体招采业务对接模块</w:t>
            </w:r>
            <w:r/>
          </w:p>
        </w:tc>
      </w:tr>
      <w:tr>
        <w:trPr>
          <w:trHeight w:val="324"/>
        </w:trPr>
        <w:tc>
          <w:tcPr>
            <w:tcW w:w="1235" w:type="pct"/>
            <w:vAlign w:val="center"/>
            <w:vMerge w:val="continue"/>
            <w:textDirection w:val="lrTb"/>
            <w:noWrap w:val="false"/>
          </w:tcPr>
          <w:p>
            <w:pPr>
              <w:ind w:firstLine="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764"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供应链协同作业机制模块</w:t>
            </w:r>
            <w:r/>
          </w:p>
        </w:tc>
      </w:tr>
      <w:tr>
        <w:trPr>
          <w:trHeight w:val="312"/>
        </w:trPr>
        <w:tc>
          <w:tcPr>
            <w:tcW w:w="1235" w:type="pct"/>
            <w:vAlign w:val="center"/>
            <w:vMerge w:val="continue"/>
            <w:textDirection w:val="lrTb"/>
            <w:noWrap w:val="false"/>
          </w:tcPr>
          <w:p>
            <w:pPr>
              <w:ind w:firstLine="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764"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数据分析与监管功能模块</w:t>
            </w:r>
            <w:r/>
          </w:p>
        </w:tc>
      </w:tr>
      <w:tr>
        <w:trPr>
          <w:trHeight w:val="325"/>
        </w:trPr>
        <w:tc>
          <w:tcPr>
            <w:tcW w:w="1235" w:type="pct"/>
            <w:vAlign w:val="center"/>
            <w:vMerge w:val="continue"/>
            <w:textDirection w:val="lrTb"/>
            <w:noWrap w:val="false"/>
          </w:tcPr>
          <w:p>
            <w:pPr>
              <w:ind w:firstLine="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764"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云药房</w:t>
            </w:r>
            <w:r>
              <w:rPr>
                <w:rFonts w:hint="eastAsia" w:ascii="宋体" w:hAnsi="宋体" w:eastAsia="宋体" w:cs="宋体"/>
                <w:color w:val="000000"/>
                <w:sz w:val="28"/>
                <w:szCs w:val="28"/>
                <w:highlight w:val="none"/>
              </w:rPr>
              <w:t xml:space="preserve">药品联动保障</w:t>
            </w:r>
            <w:r>
              <w:rPr>
                <w:rFonts w:hint="eastAsia" w:ascii="宋体" w:hAnsi="宋体" w:eastAsia="宋体" w:cs="宋体"/>
                <w:color w:val="000000"/>
                <w:sz w:val="28"/>
                <w:szCs w:val="28"/>
                <w:highlight w:val="none"/>
                <w:lang w:val="en-US" w:eastAsia="zh-CN"/>
              </w:rPr>
              <w:t xml:space="preserve">模块</w:t>
            </w:r>
            <w:r/>
          </w:p>
        </w:tc>
      </w:tr>
      <w:tr>
        <w:trPr>
          <w:trHeight w:val="533"/>
        </w:trPr>
        <w:tc>
          <w:tcPr>
            <w:tcBorders>
              <w:bottom w:val="none" w:color="000000" w:sz="4" w:space="0"/>
            </w:tcBorders>
            <w:tcW w:w="1235"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总院及分院业务系统对接</w:t>
            </w:r>
            <w:r/>
          </w:p>
        </w:tc>
        <w:tc>
          <w:tcPr>
            <w:tcW w:w="3764"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HIS</w:t>
            </w:r>
            <w:r>
              <w:rPr>
                <w:rFonts w:hint="eastAsia" w:ascii="宋体" w:hAnsi="宋体" w:eastAsia="宋体" w:cs="宋体"/>
                <w:color w:val="000000"/>
                <w:sz w:val="28"/>
                <w:szCs w:val="28"/>
                <w:highlight w:val="none"/>
                <w:lang w:eastAsia="zh-CN"/>
              </w:rPr>
              <w:t xml:space="preserve">等系统</w:t>
            </w:r>
            <w:r>
              <w:rPr>
                <w:rFonts w:hint="eastAsia" w:ascii="宋体" w:hAnsi="宋体" w:eastAsia="宋体" w:cs="宋体"/>
                <w:color w:val="000000"/>
                <w:sz w:val="28"/>
                <w:szCs w:val="28"/>
                <w:highlight w:val="none"/>
              </w:rPr>
              <w:t xml:space="preserve">对接</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包含HIS等业务系统的接口费</w:t>
            </w:r>
            <w:r>
              <w:rPr>
                <w:rFonts w:hint="eastAsia" w:ascii="宋体" w:hAnsi="宋体" w:eastAsia="宋体" w:cs="宋体"/>
                <w:color w:val="000000"/>
                <w:sz w:val="28"/>
                <w:szCs w:val="28"/>
                <w:highlight w:val="none"/>
                <w:lang w:eastAsia="zh-CN"/>
              </w:rPr>
              <w:t xml:space="preserve">）</w:t>
            </w:r>
            <w:r/>
          </w:p>
        </w:tc>
      </w:tr>
      <w:tr>
        <w:trPr>
          <w:trHeight w:val="517"/>
        </w:trPr>
        <w:tc>
          <w:tcPr>
            <w:tcW w:w="1235"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ind w:firstLine="0"/>
              <w:jc w:val="both"/>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sz w:val="28"/>
                <w:szCs w:val="28"/>
                <w:lang w:val="en-US" w:eastAsia="zh-CN"/>
              </w:rPr>
              <w:t xml:space="preserve">满足软件部署性能要求</w:t>
            </w:r>
            <w:r/>
          </w:p>
        </w:tc>
        <w:tc>
          <w:tcPr>
            <w:tcW w:w="3764" w:type="pct"/>
            <w:vAlign w:val="center"/>
            <w:textDirection w:val="lrTb"/>
            <w:noWrap w:val="false"/>
          </w:tcPr>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1.数据库服务部署要求:</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1.1)处理器：配置≥32核心，主频≥2.4GHz；</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1.2)内存：配置≥64 GB DDR4；</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1.3)硬盘：配置≥960 G固态盘，配置≥16T机械盘；</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1.4)线路：冗余1G带宽；</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2.应用服务部署要求:</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2.1)处理器：配置≥32核心，主频≥2.4GHz；</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2.2)内存：配置≥64GB DDR4；</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2.3)硬盘：配置≥960 G固态盘，配置≥16T机械盘；</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2.4）线路：冗余1G带宽；</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3.省平台对接服务要求：</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3.1）处理器：配置≥24核心，主频≥2.0GHz；</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3.2）内存：配置≥32 GB DDR4；</w:t>
            </w:r>
            <w:r/>
          </w:p>
          <w:p>
            <w:pPr>
              <w:ind w:firstLine="0"/>
              <w:jc w:val="both"/>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3.3）硬盘：配置≥960 G固态盘，配置≥16T机械盘；</w:t>
            </w:r>
            <w:r/>
          </w:p>
          <w:p>
            <w:pPr>
              <w:ind w:firstLine="0"/>
              <w:jc w:val="both"/>
              <w:spacing w:line="360" w:lineRule="auto"/>
              <w:widowControl/>
              <w:rPr>
                <w:rFonts w:hint="default" w:ascii="宋体" w:hAnsi="宋体" w:eastAsia="宋体" w:cs="宋体"/>
                <w:color w:val="000000"/>
                <w:sz w:val="28"/>
                <w:szCs w:val="28"/>
                <w:highlight w:val="none"/>
                <w:lang w:val="en-US" w:eastAsia="zh-CN"/>
              </w:rPr>
            </w:pPr>
            <w:r>
              <w:rPr>
                <w:rFonts w:hint="eastAsia" w:ascii="宋体" w:hAnsi="宋体" w:eastAsia="宋体" w:cs="宋体"/>
                <w:sz w:val="28"/>
                <w:szCs w:val="28"/>
              </w:rPr>
              <w:t xml:space="preserve">3.4）线路：冗余1G带宽；</w:t>
            </w:r>
            <w:r/>
          </w:p>
        </w:tc>
      </w:tr>
      <w:tr>
        <w:trPr>
          <w:trHeight w:val="517"/>
        </w:trPr>
        <w:tc>
          <w:tcPr>
            <w:shd w:val="clear" w:color="auto" w:fill="auto"/>
            <w:tcW w:w="1235"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维保服务</w:t>
            </w:r>
            <w:r/>
          </w:p>
        </w:tc>
        <w:tc>
          <w:tcPr>
            <w:shd w:val="clear" w:color="auto" w:fill="auto"/>
            <w:tcW w:w="3764"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项目整体免费维保五年</w:t>
            </w:r>
            <w:r/>
          </w:p>
        </w:tc>
      </w:tr>
      <w:tr>
        <w:trPr>
          <w:trHeight w:val="517"/>
        </w:trPr>
        <w:tc>
          <w:tcPr>
            <w:shd w:val="clear" w:color="auto" w:fill="auto"/>
            <w:tcW w:w="1235"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rPr>
              <w:t xml:space="preserve">合计</w:t>
            </w:r>
            <w:r/>
          </w:p>
        </w:tc>
        <w:tc>
          <w:tcPr>
            <w:shd w:val="clear" w:color="auto" w:fill="auto"/>
            <w:tcW w:w="3764" w:type="pct"/>
            <w:vAlign w:val="center"/>
            <w:textDirection w:val="lrTb"/>
            <w:noWrap w:val="false"/>
          </w:tcPr>
          <w:p>
            <w:pPr>
              <w:ind w:firstLine="0"/>
              <w:jc w:val="both"/>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rPr>
              <w:t xml:space="preserve">85</w:t>
            </w:r>
            <w:r>
              <w:rPr>
                <w:rFonts w:hint="eastAsia" w:ascii="宋体" w:hAnsi="宋体" w:eastAsia="宋体" w:cs="宋体"/>
                <w:color w:val="000000"/>
                <w:sz w:val="28"/>
                <w:szCs w:val="28"/>
                <w:highlight w:val="none"/>
              </w:rPr>
              <w:t xml:space="preserve"> 万元</w:t>
            </w:r>
            <w:r/>
          </w:p>
        </w:tc>
      </w:tr>
    </w:tbl>
    <w:p>
      <w:pPr>
        <w:numPr>
          <w:numId w:val="0"/>
        </w:numPr>
        <w:pageBreakBefore w:val="0"/>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三、人员配备</w:t>
      </w:r>
      <w:r/>
    </w:p>
    <w:p>
      <w:pPr>
        <w:ind w:left="0" w:firstLine="560"/>
        <w:pageBreakBefore w:val="0"/>
        <w:spacing w:line="360" w:lineRule="auto"/>
        <w:rPr>
          <w:rFonts w:hint="eastAsia" w:ascii="宋体" w:hAnsi="宋体" w:eastAsia="宋体" w:cs="宋体"/>
          <w:bCs/>
          <w:sz w:val="28"/>
          <w:szCs w:val="28"/>
          <w:lang w:val="en-US" w:eastAsia="zh-CN"/>
        </w:rPr>
      </w:pP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投标人需配备</w:t>
      </w:r>
      <w:r>
        <w:rPr>
          <w:rFonts w:hint="eastAsia" w:ascii="宋体" w:hAnsi="宋体" w:eastAsia="宋体" w:cs="宋体"/>
          <w:bCs/>
          <w:sz w:val="28"/>
          <w:szCs w:val="28"/>
          <w:lang w:val="zh-CN" w:eastAsia="zh-CN"/>
        </w:rPr>
        <w:t xml:space="preserve">项目</w:t>
      </w:r>
      <w:r>
        <w:rPr>
          <w:rFonts w:hint="eastAsia" w:ascii="宋体" w:hAnsi="宋体" w:eastAsia="宋体" w:cs="宋体"/>
          <w:bCs/>
          <w:sz w:val="28"/>
          <w:szCs w:val="28"/>
          <w:lang w:val="en-US" w:eastAsia="zh-CN"/>
        </w:rPr>
        <w:t xml:space="preserve">负责人1人，技术负责人1人，运维负责人1人，网络安全负责人1人，且以上人员不得兼职。</w:t>
      </w:r>
      <w:r/>
    </w:p>
    <w:p>
      <w:pPr>
        <w:numPr>
          <w:numId w:val="0"/>
        </w:numPr>
        <w:ind w:left="560"/>
        <w:pageBreakBefore w:val="0"/>
        <w:spacing w:line="360" w:lineRule="auto"/>
        <w:rPr>
          <w:rFonts w:hint="default" w:ascii="宋体" w:hAnsi="宋体" w:cs="宋体"/>
          <w:sz w:val="28"/>
          <w:szCs w:val="28"/>
          <w:lang w:val="en-US" w:eastAsia="zh-CN"/>
        </w:rPr>
      </w:pPr>
      <w:r>
        <w:rPr>
          <w:rFonts w:hint="default" w:ascii="宋体" w:hAnsi="宋体" w:cs="宋体"/>
          <w:sz w:val="28"/>
          <w:szCs w:val="28"/>
          <w:lang w:val="en-US" w:eastAsia="zh-CN"/>
        </w:rPr>
      </w:r>
      <w:r/>
    </w:p>
    <w:p>
      <w:pPr>
        <w:pStyle w:val="1088"/>
        <w:ind w:left="0" w:firstLine="0"/>
        <w:jc w:val="center"/>
        <w:pageBreakBefore w:val="0"/>
        <w:spacing w:before="0" w:after="0" w:line="360" w:lineRule="auto"/>
        <w:widowControl w:val="off"/>
        <w:rPr>
          <w:rFonts w:hint="eastAsia" w:ascii="黑体" w:hAnsi="黑体" w:cs="黑体"/>
          <w:sz w:val="28"/>
          <w:szCs w:val="28"/>
          <w:lang w:val="en-US" w:eastAsia="zh-CN"/>
        </w:rPr>
        <w:outlineLvl w:val="2"/>
      </w:pPr>
      <w:r>
        <w:rPr>
          <w:rFonts w:hint="eastAsia" w:ascii="黑体" w:hAnsi="黑体" w:cs="黑体"/>
          <w:sz w:val="28"/>
          <w:szCs w:val="28"/>
          <w:lang w:val="en-US" w:eastAsia="zh-CN"/>
        </w:rPr>
        <w:t xml:space="preserve">★第六节  商务要求</w:t>
      </w:r>
      <w:r/>
    </w:p>
    <w:p>
      <w:pPr>
        <w:numPr>
          <w:ilvl w:val="1"/>
          <w:numId w:val="2"/>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pStyle w:val="1095"/>
        <w:numPr>
          <w:ilvl w:val="0"/>
          <w:numId w:val="0"/>
        </w:numPr>
        <w:ind w:firstLine="1124"/>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eastAsia="宋体" w:cs="宋体"/>
          <w:b/>
          <w:bCs/>
          <w:color w:val="1d41d5"/>
          <w:spacing w:val="8"/>
          <w:sz w:val="28"/>
          <w:szCs w:val="28"/>
          <w:u w:val="single"/>
          <w:lang w:val="en-US" w:eastAsia="zh-CN"/>
        </w:rPr>
        <w:t xml:space="preserve">本项目建设周期预计为 9 个月，其中包含试运行3个月，并在评估验收通过采购人需求后交付该功能。</w:t>
      </w:r>
      <w:r/>
    </w:p>
    <w:p>
      <w:pPr>
        <w:pStyle w:val="1096"/>
        <w:ind w:firstLine="1124"/>
        <w:pageBreakBefore w:val="0"/>
        <w:spacing w:line="360" w:lineRule="auto"/>
        <w:rPr>
          <w:rFonts w:hint="default" w:ascii="宋体" w:hAnsi="宋体" w:eastAsia="宋体" w:cs="宋体"/>
          <w:b/>
          <w:sz w:val="28"/>
          <w:szCs w:val="28"/>
          <w:lang w:val="en-US"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常州市金坛区第一人民医院</w:t>
      </w:r>
      <w:r/>
    </w:p>
    <w:p>
      <w:pPr>
        <w:pStyle w:val="1150"/>
        <w:numPr>
          <w:ilvl w:val="1"/>
          <w:numId w:val="2"/>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合同签订后支付合同金额的30%。项目验收合格后，支付至合同价的95%。</w:t>
      </w:r>
      <w:r>
        <w:rPr>
          <w:rFonts w:ascii="SimSun" w:hAnsi="SimSun" w:eastAsia="SimSun" w:cs="SimSun"/>
          <w:color w:val="ff0000"/>
          <w:sz w:val="28"/>
        </w:rPr>
        <w:t xml:space="preserve">验收合格满一年后支付剩余款项。</w:t>
      </w:r>
      <w:r>
        <w:rPr>
          <w:sz w:val="28"/>
        </w:rPr>
      </w:r>
      <w:r/>
    </w:p>
    <w:p>
      <w:pPr>
        <w:numPr>
          <w:ilvl w:val="0"/>
          <w:numId w:val="0"/>
        </w:numPr>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    4.履约验收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人提供的服务应符合国家、地方及相关政府管理部门和行业与本项目有关的各项服务标准、规范、规章要求，并满足采购人实际需求，标准、规范等不一致的，以要求高的为准。</w:t>
      </w:r>
      <w:r/>
    </w:p>
    <w:p>
      <w:pPr>
        <w:numPr>
          <w:ilvl w:val="0"/>
          <w:numId w:val="0"/>
        </w:numPr>
        <w:ind w:firstLine="560"/>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eastAsia="宋体" w:cs="宋体"/>
          <w:sz w:val="28"/>
          <w:szCs w:val="28"/>
        </w:rPr>
        <w:t xml:space="preserve">（2）本项目验收将由采购人</w:t>
      </w:r>
      <w:r>
        <w:rPr>
          <w:rFonts w:hint="eastAsia" w:ascii="宋体" w:hAnsi="宋体" w:eastAsia="宋体" w:cs="宋体"/>
          <w:sz w:val="28"/>
          <w:szCs w:val="28"/>
          <w:lang w:val="en-US" w:eastAsia="zh-CN"/>
        </w:rPr>
        <w:t xml:space="preserve">参照《江苏省政府采购履约验收管理办法》及《考核细则》（采购人单独提供给成交供应商）</w:t>
      </w:r>
      <w:r>
        <w:rPr>
          <w:rFonts w:hint="eastAsia" w:ascii="宋体" w:hAnsi="宋体" w:eastAsia="宋体" w:cs="宋体"/>
          <w:sz w:val="28"/>
          <w:szCs w:val="28"/>
        </w:rPr>
        <w:t xml:space="preserve">组织进行或委托第三方进行。</w:t>
      </w:r>
      <w:r/>
    </w:p>
    <w:p>
      <w:pPr>
        <w:ind w:left="0" w:firstLine="0"/>
        <w:jc w:val="center"/>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lang w:val="en-US" w:eastAsia="zh-CN"/>
        </w:rPr>
        <w:t xml:space="preserve">常州市金坛第一人民医院医共体云药房项目</w:t>
      </w:r>
      <w:r/>
    </w:p>
    <w:p>
      <w:pPr>
        <w:ind w:left="0" w:firstLine="0"/>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lang w:val="en-US" w:eastAsia="zh-CN"/>
        </w:rPr>
        <w:t xml:space="preserve">考核细则</w:t>
      </w:r>
      <w:r/>
    </w:p>
    <w:tbl>
      <w:tblPr>
        <w:tblStyle w:val="1093"/>
        <w:tblpPr w:horzAnchor="page" w:tblpXSpec="center" w:vertAnchor="text" w:tblpY="401" w:leftFromText="180" w:topFromText="0" w:rightFromText="180" w:bottomFromText="0"/>
        <w:tblW w:w="10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69"/>
        <w:gridCol w:w="1028"/>
        <w:gridCol w:w="1109"/>
        <w:gridCol w:w="2761"/>
        <w:gridCol w:w="2238"/>
        <w:gridCol w:w="797"/>
        <w:gridCol w:w="1402"/>
      </w:tblGrid>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评价维度</w:t>
            </w:r>
            <w:r/>
          </w:p>
        </w:tc>
        <w:tc>
          <w:tcPr>
            <w:tcMar>
              <w:left w:w="120" w:type="dxa"/>
              <w:top w:w="60" w:type="dxa"/>
              <w:right w:w="120" w:type="dxa"/>
              <w:bottom w:w="30" w:type="dxa"/>
            </w:tcMar>
            <w:tcW w:w="1028"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权重</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评价内容</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评分标准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得分</w:t>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备注</w:t>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功能达标性</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30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核心功能实现</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完全满足招标文件第四章 采购需求中所有功能模块，运行稳定得 15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核心功能满足，次要功能存在不影响使用的瑕疵得 10-14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部分核心功能未达标但不影响主要流程得 5-9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多数功能不满足或无法正常运行得 0-4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系统对接完整性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完成与省招采平台、HIS 系统所有要求系统的对接，数据实时同步无误得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主要系统对接完成，数据同步偶有延迟但可接受得 7-9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部分关键系统对接未完成，影响数据流通得 3-6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未实现有效对接得 0-2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default" w:ascii="宋体" w:hAnsi="宋体" w:eastAsia="宋体" w:cs="宋体"/>
                <w:sz w:val="28"/>
                <w:szCs w:val="28"/>
                <w:lang w:val="en-US"/>
              </w:rPr>
              <w:suppressLineNumbers w:val="0"/>
            </w:pPr>
            <w:r>
              <w:rPr>
                <w:rFonts w:hint="eastAsia" w:ascii="宋体" w:hAnsi="宋体" w:eastAsia="宋体" w:cs="宋体"/>
                <w:sz w:val="28"/>
                <w:szCs w:val="28"/>
                <w:lang w:val="en-US" w:eastAsia="zh-CN" w:bidi="ar-SA"/>
              </w:rPr>
              <w:t xml:space="preserve">服务性能</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软件部署满足性能，软件运行流程的所有条款得 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软件部署基本满足性能，软件运行有卡顿得 3-4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仅能承载软件运行的得 1-2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无法安装软件的得 0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1909"/>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施工周期</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工期履约情况</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在工期内按时或提前完成系统上线得 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延迟工期30 天且原因合理得 4-5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延迟工期31-60 天得 2-3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延迟工期＞60 天得 0-1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以和合同签约时间和实际上线日期为依据</w:t>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进度管理规范性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制定详细实施计划，关键节点 100% 按计划完成得 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计划完善，次要节点有延迟但不影响整体得 2-3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计划不明确，关键节点失控得 1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无有效进度管理得 0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服务质量</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20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培训服务效果</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完成对使用人员、管理人员的全面培训，用户 100% 掌握操作得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培训充分，用户基本掌握核心操作得 6-9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培训不足，用户操作不熟练但可独立完成基础流程得 3-5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未开展有效培训得 0-2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文档交付完整性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提供操作手册、接口文档等所有要求文档，规范易懂得10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核心文档完整，次要文档缺失得 6-9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关键文档缺失或不规范得 3-5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未交付文档得 0-2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响应与维护</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25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故障响应及时性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- 7*24 小时即时响应，重大故障 1 小时内处理、6 小时内修复得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响应及时，多数故障按承诺时间修复得 7-9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响应延迟，修复时间超出承诺但可接受得 3-6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无有效响应或长期未修复得 0-2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维保期服务履行</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软件按约定提供免费维护，主动进行系统更新、系统优化得 10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基本履行维保义务，需用户提醒得 7-9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部分维保承诺未履行（如未定期备份）得 3-6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未提供维保服务得 0-2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问题解决有效性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所有反馈问题一次性解决，无复发得 5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多数问题解决，偶有复发但可快速处理得 3-4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部分问题未解决或反复出现得 1-2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问题未处理得 0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整体效果</w:t>
            </w:r>
            <w:r/>
          </w:p>
        </w:tc>
        <w:tc>
          <w:tcPr>
            <w:tcMar>
              <w:left w:w="120" w:type="dxa"/>
              <w:top w:w="60" w:type="dxa"/>
              <w:right w:w="120" w:type="dxa"/>
              <w:bottom w:w="30" w:type="dxa"/>
            </w:tcMar>
            <w:tcW w:w="1028" w:type="dxa"/>
            <w:vAlign w:val="center"/>
            <w:vMerge w:val="restart"/>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15 分</w:t>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业务科室体验满意度</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（8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业务科室满意度≥90% 得 8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- 70%≤满意度＜90% 得 5-7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- 50%≤满意度＜70% 得 2-4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满意度＜50% 得 0-1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028" w:type="dxa"/>
            <w:vAlign w:val="center"/>
            <w:vMerge w:val="continue"/>
            <w:textDirection w:val="lrTb"/>
            <w:noWrap w:val="false"/>
          </w:tcPr>
          <w:p>
            <w:pPr>
              <w:ind w:left="0" w:right="0" w:firstLine="420"/>
              <w:keepLines w:val="0"/>
              <w:keepNext w:val="0"/>
              <w:pageBreakBefore w:val="0"/>
              <w:spacing w:before="120" w:beforeAutospacing="0" w:after="120" w:afterAutospacing="0" w:line="480" w:lineRule="exact"/>
              <w:widowControl w:val="off"/>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c>
          <w:tcPr>
            <w:tcMar>
              <w:left w:w="120" w:type="dxa"/>
              <w:top w:w="60" w:type="dxa"/>
              <w:right w:w="120" w:type="dxa"/>
              <w:bottom w:w="30" w:type="dxa"/>
            </w:tcMar>
            <w:tcW w:w="110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数据安全性</w:t>
            </w:r>
            <w:r/>
          </w:p>
        </w:tc>
        <w:tc>
          <w:tcPr>
            <w:gridSpan w:val="2"/>
            <w:tcMar>
              <w:left w:w="120" w:type="dxa"/>
              <w:top w:w="60" w:type="dxa"/>
              <w:right w:w="120" w:type="dxa"/>
              <w:bottom w:w="30" w:type="dxa"/>
            </w:tcMar>
            <w:tcW w:w="499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（7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系统无数据泄露、权限漏洞等安全功能正常运行得 7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存在安全隐患但已修复得 5-6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有未修复的安全风险得 2-4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发生数据安全事件得 0-1 分。</w:t>
            </w:r>
            <w:r/>
          </w:p>
        </w:tc>
        <w:tc>
          <w:tcPr>
            <w:tcMar>
              <w:left w:w="120" w:type="dxa"/>
              <w:top w:w="60" w:type="dxa"/>
              <w:right w:w="120" w:type="dxa"/>
              <w:bottom w:w="30" w:type="dxa"/>
            </w:tcMar>
            <w:tcW w:w="79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c>
          <w:tcPr>
            <w:tcMar>
              <w:left w:w="120" w:type="dxa"/>
              <w:top w:w="60" w:type="dxa"/>
              <w:right w:w="120" w:type="dxa"/>
              <w:bottom w:w="30" w:type="dxa"/>
            </w:tcMar>
            <w:tcW w:w="1402"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总分</w:t>
            </w:r>
            <w:r/>
          </w:p>
        </w:tc>
        <w:tc>
          <w:tcPr>
            <w:gridSpan w:val="6"/>
            <w:tcMar>
              <w:left w:w="120" w:type="dxa"/>
              <w:top w:w="60" w:type="dxa"/>
              <w:right w:w="120" w:type="dxa"/>
              <w:bottom w:w="30" w:type="dxa"/>
            </w:tcMar>
            <w:tcW w:w="9335" w:type="dxa"/>
            <w:vAlign w:val="center"/>
            <w:textDirection w:val="lrTb"/>
            <w:noWrap w:val="false"/>
          </w:tcPr>
          <w:p>
            <w:pPr>
              <w:contextualSpacing w:val="0"/>
              <w:ind w:left="0" w:right="0" w:firstLine="88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分</w:t>
            </w:r>
            <w:r/>
          </w:p>
        </w:tc>
      </w:tr>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验收结论</w:t>
            </w:r>
            <w:r/>
          </w:p>
        </w:tc>
        <w:tc>
          <w:tcPr>
            <w:gridSpan w:val="6"/>
            <w:tcMar>
              <w:left w:w="120" w:type="dxa"/>
              <w:top w:w="60" w:type="dxa"/>
              <w:right w:w="120" w:type="dxa"/>
              <w:bottom w:w="30" w:type="dxa"/>
            </w:tcMar>
            <w:tcW w:w="9335"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合格（总分≥80 分）</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有条件合格（60≤总分＜80 分，需在____日内完成整改并复验）</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 不合格（总分＜60 分，需重新实施）</w:t>
            </w:r>
            <w:r/>
          </w:p>
        </w:tc>
      </w:tr>
      <w:tr>
        <w:trPr>
          <w:jc w:val="center"/>
        </w:trPr>
        <w:tc>
          <w:tcPr>
            <w:tcMar>
              <w:left w:w="120" w:type="dxa"/>
              <w:top w:w="60" w:type="dxa"/>
              <w:right w:w="120" w:type="dxa"/>
              <w:bottom w:w="30" w:type="dxa"/>
            </w:tcMar>
            <w:tcW w:w="969"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80" w:lineRule="exact"/>
              <w:widowControl w:val="off"/>
              <w:rPr>
                <w:rFonts w:hint="eastAsia" w:ascii="宋体" w:hAnsi="宋体" w:eastAsia="宋体" w:cs="宋体"/>
                <w:sz w:val="28"/>
                <w:szCs w:val="28"/>
              </w:rPr>
              <w:suppressLineNumbers w:val="0"/>
            </w:pPr>
            <w:r>
              <w:rPr>
                <w:rFonts w:hint="eastAsia" w:ascii="宋体" w:hAnsi="宋体" w:eastAsia="宋体" w:cs="宋体"/>
                <w:b/>
                <w:bCs/>
                <w:sz w:val="28"/>
                <w:szCs w:val="28"/>
                <w:lang w:val="en-US" w:eastAsia="zh-CN" w:bidi="ar-SA"/>
              </w:rPr>
              <w:t xml:space="preserve">签字确认</w:t>
            </w:r>
            <w:r/>
          </w:p>
        </w:tc>
        <w:tc>
          <w:tcPr>
            <w:gridSpan w:val="3"/>
            <w:tcMar>
              <w:left w:w="120" w:type="dxa"/>
              <w:top w:w="60" w:type="dxa"/>
              <w:right w:w="120" w:type="dxa"/>
              <w:bottom w:w="30" w:type="dxa"/>
            </w:tcMar>
            <w:tcW w:w="4898"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甲方代表签字：_________</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日期：____年__月__日</w:t>
            </w:r>
            <w:r/>
          </w:p>
        </w:tc>
        <w:tc>
          <w:tcPr>
            <w:gridSpan w:val="3"/>
            <w:tcMar>
              <w:left w:w="120" w:type="dxa"/>
              <w:top w:w="60" w:type="dxa"/>
              <w:right w:w="120" w:type="dxa"/>
              <w:bottom w:w="30" w:type="dxa"/>
            </w:tcMar>
            <w:tcW w:w="4437" w:type="dxa"/>
            <w:vAlign w:val="center"/>
            <w:textDirection w:val="lrTb"/>
            <w:noWrap w:val="false"/>
          </w:tcPr>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乙方代表签字：_________</w:t>
            </w:r>
            <w:r/>
          </w:p>
          <w:p>
            <w:pPr>
              <w:contextualSpacing w:val="0"/>
              <w:ind w:left="0" w:right="0" w:firstLine="0"/>
              <w:jc w:val="left"/>
              <w:keepLines w:val="0"/>
              <w:keepNext w:val="0"/>
              <w:pageBreakBefore w:val="0"/>
              <w:spacing w:before="120" w:beforeAutospacing="0" w:after="120" w:afterAutospacing="0" w:line="440" w:lineRule="exact"/>
              <w:widowControl w:val="off"/>
              <w:rPr>
                <w:rFonts w:hint="eastAsia" w:ascii="宋体" w:hAnsi="宋体" w:eastAsia="宋体" w:cs="宋体"/>
                <w:sz w:val="28"/>
                <w:szCs w:val="28"/>
              </w:rPr>
              <w:suppressLineNumbers w:val="0"/>
            </w:pPr>
            <w:r>
              <w:rPr>
                <w:rFonts w:hint="eastAsia" w:ascii="宋体" w:hAnsi="宋体" w:eastAsia="宋体" w:cs="宋体"/>
                <w:sz w:val="28"/>
                <w:szCs w:val="28"/>
                <w:lang w:val="en-US" w:eastAsia="zh-CN" w:bidi="ar-SA"/>
              </w:rPr>
              <w:t xml:space="preserve">日期：____年__月__日</w:t>
            </w:r>
            <w:r/>
          </w:p>
        </w:tc>
      </w:tr>
    </w:tbl>
    <w:p>
      <w:pPr>
        <w:rPr>
          <w:rFonts w:hint="eastAsia"/>
        </w:rPr>
      </w:pPr>
      <w:r>
        <w:rPr>
          <w:rFonts w:hint="eastAsia"/>
        </w:rPr>
      </w:r>
      <w:r/>
    </w:p>
    <w:p>
      <w:pPr>
        <w:pStyle w:val="1088"/>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宋体" w:hAnsi="宋体" w:eastAsia="宋体" w:cs="宋体"/>
          <w:sz w:val="28"/>
          <w:szCs w:val="28"/>
        </w:rPr>
        <w:t xml:space="preserve">★</w:t>
      </w:r>
      <w:r>
        <w:rPr>
          <w:rFonts w:hint="eastAsia" w:ascii="黑体" w:hAnsi="黑体" w:cs="黑体"/>
          <w:sz w:val="28"/>
          <w:szCs w:val="28"/>
          <w:lang w:val="en-US" w:eastAsia="zh-CN"/>
        </w:rPr>
        <w:t xml:space="preserve">第七节  </w:t>
      </w:r>
      <w:r>
        <w:rPr>
          <w:rFonts w:hint="eastAsia" w:ascii="黑体" w:hAnsi="黑体" w:eastAsia="黑体" w:cs="黑体"/>
          <w:sz w:val="28"/>
          <w:szCs w:val="28"/>
        </w:rPr>
        <w:t xml:space="preserve">其他重要条款</w:t>
      </w:r>
      <w:r/>
    </w:p>
    <w:p>
      <w:pPr>
        <w:pStyle w:val="1095"/>
        <w:ind w:firstLine="523"/>
        <w:pageBreakBefore w:val="0"/>
        <w:spacing w:line="360" w:lineRule="auto"/>
        <w:rPr>
          <w:rFonts w:hint="eastAsia" w:ascii="宋体" w:hAnsi="宋体" w:eastAsia="宋体" w:cs="宋体"/>
          <w:sz w:val="28"/>
          <w:szCs w:val="28"/>
        </w:rPr>
      </w:pPr>
      <w:r/>
      <w:bookmarkStart w:id="54"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54"/>
      <w:r/>
      <w:r/>
    </w:p>
    <w:p>
      <w:pPr>
        <w:numPr>
          <w:ilvl w:val="0"/>
          <w:numId w:val="0"/>
        </w:numPr>
        <w:rPr>
          <w:rFonts w:hint="default"/>
          <w:lang w:val="en-US" w:eastAsia="zh-CN"/>
        </w:rPr>
      </w:pPr>
      <w:r>
        <w:rPr>
          <w:rFonts w:hint="default"/>
          <w:lang w:val="en-US" w:eastAsia="zh-CN"/>
        </w:rPr>
      </w:r>
      <w:r/>
    </w:p>
    <w:p>
      <w:pPr>
        <w:numPr>
          <w:ilvl w:val="0"/>
          <w:numId w:val="0"/>
        </w:numPr>
      </w:pPr>
      <w:r/>
      <w:r/>
    </w:p>
    <w:p>
      <w:pPr>
        <w:pStyle w:val="1096"/>
        <w:rPr>
          <w:rFonts w:hint="default" w:eastAsia="楷体_GB2312"/>
          <w:lang w:val="en-US" w:eastAsia="zh-CN"/>
        </w:rPr>
      </w:pPr>
      <w:r>
        <w:rPr>
          <w:rFonts w:hint="default" w:eastAsia="楷体_GB2312"/>
          <w:lang w:val="en-US" w:eastAsia="zh-CN"/>
        </w:rPr>
      </w:r>
      <w:bookmarkEnd w:id="4"/>
      <w:r/>
      <w:bookmarkEnd w:id="5"/>
      <w:r/>
      <w:bookmarkEnd w:id="6"/>
      <w:r/>
      <w:r/>
    </w:p>
    <w:p>
      <w:pPr>
        <w:ind w:left="0" w:firstLine="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55"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89"/>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firstLine="640"/>
        <w:spacing w:line="570" w:lineRule="exact"/>
        <w:rPr>
          <w:rFonts w:hint="eastAsia" w:ascii="宋体" w:hAnsi="宋体" w:eastAsia="宋体" w:cs="宋体"/>
          <w:color w:val="0d1e0f"/>
          <w:sz w:val="28"/>
          <w:szCs w:val="28"/>
          <w:highlight w:val="none"/>
        </w:rPr>
      </w:pPr>
      <w:r>
        <w:rPr>
          <w:rFonts w:hint="eastAsia" w:ascii="宋体" w:hAnsi="宋体" w:eastAsia="宋体" w:cs="宋体"/>
          <w:color w:val="0d1e0f"/>
          <w:sz w:val="28"/>
          <w:szCs w:val="28"/>
        </w:rPr>
        <w:t xml:space="preserve">项目名称：</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项目编号：</w:t>
      </w:r>
      <w:r/>
    </w:p>
    <w:p>
      <w:pPr>
        <w:ind w:firstLine="640"/>
        <w:spacing w:line="570" w:lineRule="exact"/>
        <w:rPr>
          <w:rFonts w:hint="default" w:ascii="宋体" w:hAnsi="宋体" w:eastAsia="宋体" w:cs="宋体"/>
          <w:color w:val="0d1e0f"/>
          <w:sz w:val="28"/>
          <w:szCs w:val="28"/>
          <w:u w:val="single"/>
          <w:lang w:val="en-US" w:eastAsia="zh-CN"/>
        </w:rPr>
      </w:pPr>
      <w:r>
        <w:rPr>
          <w:rFonts w:hint="eastAsia" w:ascii="宋体" w:hAnsi="宋体" w:eastAsia="宋体" w:cs="宋体"/>
          <w:color w:val="0d1e0f"/>
          <w:sz w:val="28"/>
          <w:szCs w:val="28"/>
        </w:rPr>
        <w:t xml:space="preserve">甲方：（</w:t>
      </w:r>
      <w:r>
        <w:rPr>
          <w:rFonts w:hint="eastAsia" w:ascii="宋体" w:hAnsi="宋体" w:cs="宋体"/>
          <w:color w:val="0d1e0f"/>
          <w:sz w:val="28"/>
          <w:szCs w:val="28"/>
          <w:lang w:val="en-US" w:eastAsia="zh-CN"/>
        </w:rPr>
        <w:t xml:space="preserve">采购人</w:t>
      </w:r>
      <w:r>
        <w:rPr>
          <w:rFonts w:hint="eastAsia" w:ascii="宋体" w:hAnsi="宋体" w:eastAsia="宋体" w:cs="宋体"/>
          <w:color w:val="0d1e0f"/>
          <w:sz w:val="28"/>
          <w:szCs w:val="28"/>
        </w:rPr>
        <w:t xml:space="preserve">）</w:t>
      </w:r>
      <w:r>
        <w:rPr>
          <w:rFonts w:hint="eastAsia" w:ascii="宋体" w:hAnsi="宋体" w:cs="宋体"/>
          <w:color w:val="0d1e0f"/>
          <w:sz w:val="28"/>
          <w:szCs w:val="28"/>
          <w:u w:val="single"/>
          <w:lang w:val="en-US" w:eastAsia="zh-CN"/>
        </w:rPr>
        <w:t xml:space="preserve">                </w:t>
      </w:r>
      <w:r/>
    </w:p>
    <w:p>
      <w:pPr>
        <w:ind w:firstLine="640"/>
        <w:spacing w:line="570" w:lineRule="exact"/>
        <w:rPr>
          <w:rFonts w:hint="default" w:ascii="宋体" w:hAnsi="宋体" w:eastAsia="宋体" w:cs="宋体"/>
          <w:color w:val="0d1e0f"/>
          <w:sz w:val="28"/>
          <w:szCs w:val="28"/>
          <w:u w:val="single"/>
          <w:lang w:val="en-US" w:eastAsia="zh-CN"/>
        </w:rPr>
      </w:pPr>
      <w:r>
        <w:rPr>
          <w:rFonts w:hint="eastAsia" w:ascii="宋体" w:hAnsi="宋体" w:eastAsia="宋体" w:cs="宋体"/>
          <w:color w:val="0d1e0f"/>
          <w:sz w:val="28"/>
          <w:szCs w:val="28"/>
        </w:rPr>
        <w:t xml:space="preserve">乙方：（</w:t>
      </w:r>
      <w:r>
        <w:rPr>
          <w:rFonts w:hint="eastAsia" w:ascii="宋体" w:hAnsi="宋体" w:cs="宋体"/>
          <w:color w:val="0d1e0f"/>
          <w:sz w:val="28"/>
          <w:szCs w:val="28"/>
          <w:lang w:val="en-US" w:eastAsia="zh-CN"/>
        </w:rPr>
        <w:t xml:space="preserve">供应商</w:t>
      </w:r>
      <w:r>
        <w:rPr>
          <w:rFonts w:hint="eastAsia" w:ascii="宋体" w:hAnsi="宋体" w:eastAsia="宋体" w:cs="宋体"/>
          <w:color w:val="0d1e0f"/>
          <w:sz w:val="28"/>
          <w:szCs w:val="28"/>
        </w:rPr>
        <w:t xml:space="preserve">）</w:t>
      </w:r>
      <w:r>
        <w:rPr>
          <w:rFonts w:hint="eastAsia" w:ascii="宋体" w:hAnsi="宋体" w:cs="宋体"/>
          <w:color w:val="0d1e0f"/>
          <w:sz w:val="28"/>
          <w:szCs w:val="28"/>
          <w:u w:val="single"/>
          <w:lang w:val="en-US" w:eastAsia="zh-CN"/>
        </w:rPr>
        <w:t xml:space="preserve">                </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甲乙</w:t>
      </w:r>
      <w:r>
        <w:rPr>
          <w:rFonts w:hint="eastAsia" w:ascii="宋体" w:hAnsi="宋体" w:eastAsia="宋体" w:cs="宋体"/>
          <w:color w:val="0d1e0f"/>
          <w:sz w:val="28"/>
          <w:szCs w:val="28"/>
          <w:lang w:val="en-US" w:eastAsia="zh-CN"/>
        </w:rPr>
        <w:t xml:space="preserve">双</w:t>
      </w:r>
      <w:r>
        <w:rPr>
          <w:rFonts w:hint="eastAsia" w:ascii="宋体" w:hAnsi="宋体" w:eastAsia="宋体" w:cs="宋体"/>
          <w:color w:val="0d1e0f"/>
          <w:sz w:val="28"/>
          <w:szCs w:val="28"/>
        </w:rPr>
        <w:t xml:space="preserve">方根据常州市</w:t>
      </w:r>
      <w:r>
        <w:rPr>
          <w:rFonts w:hint="eastAsia" w:ascii="宋体" w:hAnsi="宋体" w:eastAsia="宋体" w:cs="宋体"/>
          <w:color w:val="0d1e0f"/>
          <w:sz w:val="28"/>
          <w:szCs w:val="28"/>
          <w:lang w:val="en-US" w:eastAsia="zh-CN"/>
        </w:rPr>
        <w:t xml:space="preserve">金坛区</w:t>
      </w:r>
      <w:r>
        <w:rPr>
          <w:rFonts w:hint="eastAsia" w:ascii="宋体" w:hAnsi="宋体" w:eastAsia="宋体" w:cs="宋体"/>
          <w:color w:val="0d1e0f"/>
          <w:sz w:val="28"/>
          <w:szCs w:val="28"/>
        </w:rPr>
        <w:t xml:space="preserve">政府采购中心</w:t>
      </w:r>
      <w:r>
        <w:rPr>
          <w:rFonts w:hint="eastAsia" w:ascii="宋体" w:hAnsi="宋体" w:cs="宋体"/>
          <w:color w:val="0d1e0f"/>
          <w:sz w:val="28"/>
          <w:szCs w:val="28"/>
          <w:u w:val="single"/>
          <w:lang w:val="en-US" w:eastAsia="zh-CN"/>
        </w:rPr>
        <w:t xml:space="preserve">                     </w:t>
      </w:r>
      <w:r>
        <w:rPr>
          <w:rFonts w:hint="eastAsia" w:ascii="宋体" w:hAnsi="宋体" w:eastAsia="宋体" w:cs="宋体"/>
          <w:color w:val="0d1e0f"/>
          <w:sz w:val="28"/>
          <w:szCs w:val="28"/>
        </w:rPr>
        <w:t xml:space="preserve">项目</w:t>
      </w:r>
      <w:r>
        <w:rPr>
          <w:rFonts w:hint="eastAsia" w:ascii="宋体" w:hAnsi="宋体" w:cs="宋体"/>
          <w:color w:val="0d1e0f"/>
          <w:sz w:val="28"/>
          <w:szCs w:val="28"/>
          <w:lang w:val="en-US" w:eastAsia="zh-CN"/>
        </w:rPr>
        <w:t xml:space="preserve">招标</w:t>
      </w:r>
      <w:r>
        <w:rPr>
          <w:rFonts w:hint="eastAsia" w:ascii="宋体" w:hAnsi="宋体" w:eastAsia="宋体" w:cs="宋体"/>
          <w:color w:val="0d1e0f"/>
          <w:sz w:val="28"/>
          <w:szCs w:val="28"/>
          <w:lang w:val="en-US" w:eastAsia="zh-CN"/>
        </w:rPr>
        <w:t xml:space="preserve">采购</w:t>
      </w:r>
      <w:r>
        <w:rPr>
          <w:rFonts w:hint="eastAsia" w:ascii="宋体" w:hAnsi="宋体" w:eastAsia="宋体" w:cs="宋体"/>
          <w:color w:val="0d1e0f"/>
          <w:sz w:val="28"/>
          <w:szCs w:val="28"/>
        </w:rPr>
        <w:t xml:space="preserve">的结果，签署本合同。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一、合同内容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 标的名称：</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1.2标的质量：</w:t>
      </w:r>
      <w:r>
        <w:rPr>
          <w:rFonts w:hint="eastAsia" w:ascii="宋体" w:hAnsi="宋体" w:eastAsia="宋体" w:cs="宋体"/>
          <w:color w:val="0d1e0f"/>
          <w:sz w:val="28"/>
          <w:szCs w:val="28"/>
        </w:rPr>
        <w:t xml:space="preserve"> </w:t>
      </w:r>
      <w:r>
        <w:rPr>
          <w:rFonts w:hint="eastAsia" w:ascii="宋体" w:hAnsi="宋体" w:eastAsia="宋体" w:cs="宋体"/>
          <w:color w:val="0d1e0f"/>
          <w:sz w:val="28"/>
          <w:szCs w:val="28"/>
        </w:rPr>
      </w:r>
      <w:r/>
    </w:p>
    <w:p>
      <w:pPr>
        <w:ind w:firstLine="640"/>
        <w:spacing w:line="570" w:lineRule="exact"/>
        <w:rPr>
          <w:rFonts w:hint="default" w:ascii="宋体" w:hAnsi="宋体" w:eastAsia="宋体" w:cs="宋体"/>
          <w:color w:val="0d1e0f"/>
          <w:sz w:val="28"/>
          <w:szCs w:val="28"/>
          <w:lang w:val="en-US"/>
        </w:rPr>
        <w:suppressLineNumbers w:val="0"/>
      </w:pPr>
      <w:r>
        <w:rPr>
          <w:rFonts w:hint="eastAsia" w:ascii="宋体" w:hAnsi="宋体" w:eastAsia="宋体" w:cs="宋体"/>
          <w:color w:val="0d1e0f"/>
          <w:sz w:val="28"/>
          <w:szCs w:val="28"/>
        </w:rPr>
        <w:t xml:space="preserve">1.3标的数量（规模）</w:t>
      </w:r>
      <w:r>
        <w:rPr>
          <w:rFonts w:hint="eastAsia" w:ascii="宋体" w:hAnsi="宋体" w:eastAsia="宋体" w:cs="宋体"/>
          <w:color w:val="0d1e0f"/>
          <w:sz w:val="28"/>
          <w:szCs w:val="28"/>
        </w:rPr>
        <w:t xml:space="preserve">：</w:t>
      </w:r>
      <w:r>
        <w:rPr>
          <w:rFonts w:hint="eastAsia" w:ascii="宋体" w:hAnsi="宋体" w:eastAsia="宋体" w:cs="宋体"/>
          <w:color w:val="000000"/>
          <w:sz w:val="28"/>
          <w:szCs w:val="28"/>
          <w:highlight w:val="none"/>
          <w:lang w:val="en-US" w:eastAsia="zh-CN" w:bidi="ar"/>
        </w:rPr>
        <w:t xml:space="preserve">为贯彻落实县域医共体建设精神，推动医疗资源整合与下沉，提升常州市金坛区整体医疗卫生服务能力和运营效率，本项目围绕“标准统一、资源共享、服务协同、管理规范”的总体要求，建设医共体云药房。具体建设内容详见采购需求。</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 履行时间（期限）：</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1.5 履行地点：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1.6履行方式：</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二、合同金额</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2.1本合同金额为（大写）：___________________________元整（_______________元）人民币或其他币种。</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三、技术资料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3.1乙方应按招标文件规定的时间向甲方提供服务（包含与服务相关的货物）的有关技术资料。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jc w:val="both"/>
        <w:spacing w:line="570" w:lineRule="exact"/>
        <w:widowControl w:val="off"/>
        <w:rPr>
          <w:rFonts w:hint="eastAsia" w:ascii="宋体" w:hAnsi="宋体" w:eastAsia="宋体" w:cs="宋体"/>
          <w:color w:val="0d1e0f"/>
          <w:sz w:val="28"/>
          <w:szCs w:val="28"/>
        </w:rPr>
      </w:pPr>
      <w:r>
        <w:rPr>
          <w:rFonts w:hint="eastAsia" w:ascii="宋体" w:hAnsi="宋体" w:eastAsia="宋体" w:cs="宋体"/>
          <w:color w:val="0d1e0f"/>
          <w:sz w:val="28"/>
          <w:szCs w:val="28"/>
          <w:lang w:val="en-US" w:eastAsia="zh-CN" w:bidi="ar-SA"/>
        </w:rPr>
        <w:t xml:space="preserve">四、知识产权</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 著作权归属：</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产生的所有成果（包括但不限于源代码、目标代码、技术文档、用户手册、培训资料、界面设计等）的著作权归双方共同所有。未经另一方书面同意，任何一方不得单独将上述成果转让、许可给第三方或用于其他项目。乙方（软件厂家）应确保甲方（医院）拥有永久性的、可转让的、排他的使用权和后续开发权。” </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2.专利权归属：</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“在履行本协议过程中完成的发明创造，申请专利的权利归双方共有。一方放弃其共有的专利申请权的，另一方可以单独申请。甲方（医院）可以免费实施该专利。”</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3. 数据权利保护：</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医院）提供的数据、资料及其所有权、衍生数据的所有权归甲方单独所有。乙方（软件厂家）仅可为履行本合同目的使用上述数据，并采取一切必要措施保证数据安全。合同终止或解除后，乙方应按照甲方要求返还或销毁所有数据副本。” </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4.源代码移交：</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乙方（软件厂家）应在系统验收合格后6个月内，向甲方（医院）指定的人员或双方认可的第三方托管机构交付完整的、可编译的源代码、开发工具、技术文档及必要的说明。若乙方出现重大违约、破产或无法继续提供技术支持等情况，甲方有权取出并使用上述源代码进行系统的维护、升级和二次开发。”</w:t>
      </w:r>
      <w:r/>
    </w:p>
    <w:p>
      <w:pPr>
        <w:ind w:firstLine="640"/>
        <w:jc w:val="both"/>
        <w:spacing w:line="570" w:lineRule="exact"/>
        <w:widowControl w:val="off"/>
        <w:rPr>
          <w:rFonts w:hint="eastAsia" w:ascii="宋体" w:hAnsi="宋体" w:eastAsia="宋体" w:cs="宋体"/>
          <w:color w:val="0d1e0f"/>
          <w:sz w:val="28"/>
          <w:szCs w:val="28"/>
          <w:u w:val="single"/>
          <w:lang w:val="en-US" w:eastAsia="zh-CN" w:bidi="ar-SA"/>
        </w:rPr>
      </w:pPr>
      <w:r>
        <w:rPr>
          <w:rFonts w:hint="eastAsia" w:ascii="宋体" w:hAnsi="宋体" w:eastAsia="宋体" w:cs="宋体"/>
          <w:color w:val="0d1e0f"/>
          <w:sz w:val="28"/>
          <w:szCs w:val="28"/>
          <w:lang w:val="en-US" w:eastAsia="zh-CN" w:bidi="ar-SA"/>
        </w:rPr>
        <w:t xml:space="preserve">五、产权担保</w:t>
      </w:r>
      <w:r/>
    </w:p>
    <w:p>
      <w:pPr>
        <w:ind w:firstLine="640"/>
        <w:spacing w:line="570" w:lineRule="exact"/>
        <w:rPr>
          <w:rFonts w:hint="eastAsia" w:ascii="宋体" w:hAnsi="宋体" w:eastAsia="宋体" w:cs="宋体"/>
          <w:color w:val="0d1e0f"/>
          <w:sz w:val="28"/>
          <w:szCs w:val="28"/>
          <w:u w:val="single"/>
        </w:rPr>
      </w:pPr>
      <w:r>
        <w:rPr>
          <w:rFonts w:hint="eastAsia" w:ascii="宋体" w:hAnsi="宋体" w:eastAsia="宋体" w:cs="宋体"/>
          <w:color w:val="0d1e0f"/>
          <w:sz w:val="28"/>
          <w:szCs w:val="28"/>
        </w:rPr>
        <w:t xml:space="preserve">5.1 乙方保证所交付的服务（包含与服务相关的货物）的所有权完全属于乙方且无任何抵押、查封等产权瑕疵。</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六、履约保证金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本项目</w:t>
      </w:r>
      <w:r>
        <w:rPr>
          <w:rFonts w:hint="eastAsia" w:ascii="宋体" w:hAnsi="宋体" w:eastAsia="宋体" w:cs="宋体"/>
          <w:color w:val="0d1e0f"/>
          <w:sz w:val="28"/>
          <w:szCs w:val="28"/>
          <w:u w:val="single"/>
        </w:rPr>
        <w:t xml:space="preserve">不收取</w:t>
      </w:r>
      <w:r>
        <w:rPr>
          <w:rFonts w:hint="eastAsia" w:ascii="宋体" w:hAnsi="宋体" w:eastAsia="宋体" w:cs="宋体"/>
          <w:color w:val="0d1e0f"/>
          <w:sz w:val="28"/>
          <w:szCs w:val="28"/>
        </w:rPr>
        <w:t xml:space="preserve">履约保证金。</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七、合同转包或分包</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7.1 乙方不得将合同标的转包给他人履行。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7.2 乙方不得将合同标的分包给他人履行。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7.3 乙方如有转包或未经甲方同意的分包行为，甲方有权解除合同。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八、合同款项支付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8"/>
        </w:rPr>
        <w:t xml:space="preserve">    合同签订后支付合同金额的30%。项目验收合格后，支付至合同价的95%。</w:t>
      </w:r>
      <w:r>
        <w:rPr>
          <w:rFonts w:ascii="SimSun" w:hAnsi="SimSun" w:eastAsia="SimSun" w:cs="SimSun"/>
          <w:color w:val="ff0000"/>
          <w:sz w:val="28"/>
        </w:rPr>
        <w:t xml:space="preserve">验收合格满一年后支付剩余款项。</w:t>
      </w:r>
      <w:r>
        <w:rPr>
          <w:sz w:val="28"/>
        </w:rPr>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九、税费</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9.1 本合同执行中相关的一切税费均由乙方负担。</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十、项目验收</w:t>
      </w:r>
      <w:r/>
    </w:p>
    <w:p>
      <w:pPr>
        <w:ind w:firstLine="560"/>
        <w:spacing w:line="360" w:lineRule="auto"/>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10.1甲方</w:t>
      </w:r>
      <w:r>
        <w:rPr>
          <w:rFonts w:hint="eastAsia" w:ascii="宋体" w:hAnsi="宋体" w:eastAsia="宋体" w:cs="宋体"/>
          <w:sz w:val="28"/>
          <w:szCs w:val="28"/>
          <w:lang w:val="en-US" w:eastAsia="zh-CN"/>
        </w:rPr>
        <w:t xml:space="preserve">参照《江苏省政府采购履约验收管理办法》</w:t>
      </w:r>
      <w:r>
        <w:rPr>
          <w:rFonts w:hint="eastAsia" w:ascii="宋体" w:hAnsi="宋体" w:cs="宋体"/>
          <w:sz w:val="28"/>
          <w:szCs w:val="28"/>
          <w:lang w:val="en-US" w:eastAsia="zh-CN"/>
        </w:rPr>
        <w:t xml:space="preserve">及《考核细则》</w:t>
      </w:r>
      <w:r>
        <w:rPr>
          <w:rFonts w:hint="eastAsia" w:ascii="宋体" w:hAnsi="宋体" w:eastAsia="宋体" w:cs="宋体"/>
          <w:sz w:val="28"/>
          <w:szCs w:val="28"/>
        </w:rPr>
        <w:t xml:space="preserve">组织进行或委托第三方进行。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10.3甲方参与验收。</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10.4如有必要，甲方邀请参加本项目的其他供应商或第三方专业机构及专家参与验收，相关意见将作为验收书的参考资料。</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十一、违约责任</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11.1甲方无正当理由拒绝接受乙方提供服务的，甲方向乙方偿付拒绝接受服务合同价款总值的违约金。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11.2甲方无故逾期验收和办理合同款项支付手续的,甲方应按逾期付款总额每日向乙方支付违约金。</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11.4乙方所提供服务的标准不符合合同规定及招标文件规定标准的，甲方有权拒绝接受服务，并可单方面解除合同。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十二、不可抗力事件处理</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12.1在合同有效期内，任何一方因不可抗力事件导致不能履行合同，则合同履行期可延长，其延长期与不可抗力影响期相同。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12.2不可抗力事件发生后，应立即通知对方，并寄送有关权威机构出具的证明。</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12.3不可抗力事件延续120天以上，双方应通过友好协商，确定是否继续履行合同。</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十三、解决争议的方法</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13.1</w:t>
      </w:r>
      <w:r>
        <w:rPr>
          <w:rFonts w:hint="eastAsia" w:ascii="宋体" w:hAnsi="宋体" w:cs="宋体"/>
          <w:color w:val="0d1e0f"/>
          <w:sz w:val="28"/>
          <w:szCs w:val="28"/>
          <w:lang w:val="en-US" w:eastAsia="zh-CN"/>
        </w:rPr>
        <w:t xml:space="preserve">叁</w:t>
      </w:r>
      <w:r>
        <w:rPr>
          <w:rFonts w:hint="eastAsia" w:ascii="宋体" w:hAnsi="宋体" w:eastAsia="宋体" w:cs="宋体"/>
          <w:color w:val="0d1e0f"/>
          <w:sz w:val="28"/>
          <w:szCs w:val="28"/>
        </w:rPr>
        <w:t xml:space="preserve">方在签订、履行合同中所发生的一切争议，应通过友好协商解决。如协商不成，由甲方住所地人民法院管辖。</w:t>
      </w:r>
      <w:r/>
    </w:p>
    <w:p>
      <w:pPr>
        <w:ind w:firstLine="640"/>
        <w:jc w:val="both"/>
        <w:spacing w:line="570" w:lineRule="exact"/>
        <w:widowControl w:val="off"/>
        <w:rPr>
          <w:rFonts w:hint="eastAsia" w:ascii="宋体" w:hAnsi="宋体" w:eastAsia="宋体" w:cs="宋体"/>
          <w:color w:val="0d1e0f"/>
          <w:sz w:val="28"/>
          <w:szCs w:val="28"/>
          <w:lang w:val="en-US" w:eastAsia="zh-CN" w:bidi="ar-SA"/>
        </w:rPr>
      </w:pPr>
      <w:r>
        <w:rPr>
          <w:rFonts w:hint="eastAsia" w:ascii="宋体" w:hAnsi="宋体" w:eastAsia="宋体" w:cs="宋体"/>
          <w:color w:val="0d1e0f"/>
          <w:sz w:val="28"/>
          <w:szCs w:val="28"/>
          <w:lang w:val="en-US" w:eastAsia="zh-CN" w:bidi="ar-SA"/>
        </w:rPr>
        <w:t xml:space="preserve">十四、合同生效及其他</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14.1合同经</w:t>
      </w:r>
      <w:r>
        <w:rPr>
          <w:rFonts w:hint="eastAsia" w:ascii="宋体" w:hAnsi="宋体" w:cs="宋体"/>
          <w:color w:val="0d1e0f"/>
          <w:sz w:val="28"/>
          <w:szCs w:val="28"/>
          <w:lang w:val="en-US" w:eastAsia="zh-CN"/>
        </w:rPr>
        <w:t xml:space="preserve">叁</w:t>
      </w:r>
      <w:r>
        <w:rPr>
          <w:rFonts w:hint="eastAsia" w:ascii="宋体" w:hAnsi="宋体" w:eastAsia="宋体" w:cs="宋体"/>
          <w:color w:val="0d1e0f"/>
          <w:sz w:val="28"/>
          <w:szCs w:val="28"/>
        </w:rPr>
        <w:t xml:space="preserve">方法定代表人或授权委托代表人签字并加盖单位公章后生效。</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14.2本合同未尽事宜，遵照《中华人民共和国民法典》《中华人民共和国政府采购法》有关条文执行。</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14.3本合同正本一式</w:t>
      </w:r>
      <w:r>
        <w:rPr>
          <w:rFonts w:hint="eastAsia" w:ascii="宋体" w:hAnsi="宋体" w:cs="宋体"/>
          <w:color w:val="0d1e0f"/>
          <w:sz w:val="28"/>
          <w:szCs w:val="28"/>
          <w:lang w:val="en-US" w:eastAsia="zh-CN"/>
        </w:rPr>
        <w:t xml:space="preserve">肆</w:t>
      </w:r>
      <w:r>
        <w:rPr>
          <w:rFonts w:hint="eastAsia" w:ascii="宋体" w:hAnsi="宋体" w:eastAsia="宋体" w:cs="宋体"/>
          <w:color w:val="0d1e0f"/>
          <w:sz w:val="28"/>
          <w:szCs w:val="28"/>
        </w:rPr>
        <w:t xml:space="preserve">份，具有同等法律效力，甲乙</w:t>
      </w:r>
      <w:r>
        <w:rPr>
          <w:rFonts w:hint="eastAsia" w:ascii="宋体" w:hAnsi="宋体" w:eastAsia="宋体" w:cs="宋体"/>
          <w:color w:val="0d1e0f"/>
          <w:sz w:val="28"/>
          <w:szCs w:val="28"/>
          <w:lang w:val="en-US" w:eastAsia="zh-CN"/>
        </w:rPr>
        <w:t xml:space="preserve">双</w:t>
      </w:r>
      <w:r>
        <w:rPr>
          <w:rFonts w:hint="eastAsia" w:ascii="宋体" w:hAnsi="宋体" w:eastAsia="宋体" w:cs="宋体"/>
          <w:color w:val="0d1e0f"/>
          <w:sz w:val="28"/>
          <w:szCs w:val="28"/>
        </w:rPr>
        <w:t xml:space="preserve">方各执</w:t>
      </w:r>
      <w:r>
        <w:rPr>
          <w:rFonts w:hint="eastAsia" w:ascii="宋体" w:hAnsi="宋体" w:eastAsia="宋体" w:cs="宋体"/>
          <w:color w:val="0d1e0f"/>
          <w:sz w:val="28"/>
          <w:szCs w:val="28"/>
          <w:lang w:val="en-US" w:eastAsia="zh-CN"/>
        </w:rPr>
        <w:t xml:space="preserve">贰</w:t>
      </w:r>
      <w:r>
        <w:rPr>
          <w:rFonts w:hint="eastAsia" w:ascii="宋体" w:hAnsi="宋体" w:eastAsia="宋体" w:cs="宋体"/>
          <w:color w:val="0d1e0f"/>
          <w:sz w:val="28"/>
          <w:szCs w:val="28"/>
        </w:rPr>
        <w:t xml:space="preserve">份。</w:t>
      </w:r>
      <w:r/>
    </w:p>
    <w:p>
      <w:pPr>
        <w:ind w:firstLine="64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r>
      <w:r/>
    </w:p>
    <w:p>
      <w:pPr>
        <w:ind w:firstLine="140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甲方：</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乙方：</w:t>
      </w:r>
      <w:r/>
    </w:p>
    <w:p>
      <w:pPr>
        <w:ind w:firstLine="140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地址：</w:t>
      </w:r>
      <w:r>
        <w:rPr>
          <w:rFonts w:hint="eastAsia" w:ascii="宋体" w:hAnsi="宋体" w:eastAsia="宋体" w:cs="宋体"/>
          <w:color w:val="0d1e0f"/>
          <w:sz w:val="28"/>
          <w:szCs w:val="28"/>
          <w:lang w:val="en-US" w:eastAsia="zh-CN"/>
        </w:rPr>
        <w:t xml:space="preserve">                        </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地址：</w:t>
      </w:r>
      <w:r/>
    </w:p>
    <w:p>
      <w:pPr>
        <w:ind w:firstLine="1400"/>
        <w:spacing w:line="570" w:lineRule="exact"/>
        <w:rPr>
          <w:rFonts w:hint="eastAsia" w:ascii="宋体" w:hAnsi="宋体" w:eastAsia="宋体" w:cs="宋体"/>
          <w:color w:val="0d1e0f"/>
          <w:sz w:val="28"/>
          <w:szCs w:val="28"/>
        </w:rPr>
      </w:pPr>
      <w:r>
        <w:rPr>
          <w:rFonts w:hint="eastAsia" w:ascii="宋体" w:hAnsi="宋体" w:eastAsia="宋体" w:cs="宋体"/>
          <w:color w:val="0d1e0f"/>
          <w:sz w:val="28"/>
          <w:szCs w:val="28"/>
        </w:rPr>
        <w:t xml:space="preserve">法定代表人或授权代表：</w:t>
      </w:r>
      <w:r>
        <w:rPr>
          <w:rFonts w:hint="eastAsia" w:ascii="宋体" w:hAnsi="宋体" w:eastAsia="宋体" w:cs="宋体"/>
          <w:color w:val="0d1e0f"/>
          <w:sz w:val="28"/>
          <w:szCs w:val="28"/>
          <w:lang w:val="en-US" w:eastAsia="zh-CN"/>
        </w:rPr>
        <w:t xml:space="preserve">        </w:t>
      </w:r>
      <w:r>
        <w:rPr>
          <w:rFonts w:hint="eastAsia" w:ascii="宋体" w:hAnsi="宋体" w:cs="宋体"/>
          <w:color w:val="0d1e0f"/>
          <w:sz w:val="28"/>
          <w:szCs w:val="28"/>
          <w:lang w:val="en-US" w:eastAsia="zh-CN"/>
        </w:rPr>
        <w:t xml:space="preserve">  </w:t>
      </w:r>
      <w:r>
        <w:rPr>
          <w:rFonts w:hint="eastAsia" w:ascii="宋体" w:hAnsi="宋体" w:eastAsia="宋体" w:cs="宋体"/>
          <w:color w:val="0d1e0f"/>
          <w:sz w:val="28"/>
          <w:szCs w:val="28"/>
        </w:rPr>
        <w:t xml:space="preserve">法定代表人或授权代表：</w:t>
      </w:r>
      <w:r/>
    </w:p>
    <w:p>
      <w:pPr>
        <w:ind w:firstLine="1400"/>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color w:val="0d1e0f"/>
          <w:sz w:val="28"/>
          <w:szCs w:val="28"/>
        </w:rPr>
        <w:t xml:space="preserve">联系电话：</w:t>
      </w:r>
      <w:r>
        <w:rPr>
          <w:rFonts w:hint="eastAsia" w:ascii="宋体" w:hAnsi="宋体" w:eastAsia="宋体" w:cs="宋体"/>
          <w:color w:val="0d1e0f"/>
          <w:sz w:val="28"/>
          <w:szCs w:val="28"/>
          <w:lang w:val="en-US" w:eastAsia="zh-CN"/>
        </w:rPr>
        <w:t xml:space="preserve">                      </w:t>
      </w:r>
      <w:r>
        <w:rPr>
          <w:rFonts w:hint="eastAsia" w:ascii="宋体" w:hAnsi="宋体" w:eastAsia="宋体" w:cs="宋体"/>
          <w:color w:val="0d1e0f"/>
          <w:sz w:val="28"/>
          <w:szCs w:val="28"/>
        </w:rPr>
        <w:t xml:space="preserve">联系电话：</w:t>
      </w:r>
      <w:r>
        <w:rPr>
          <w:rFonts w:hint="eastAsia" w:ascii="宋体" w:hAnsi="宋体" w:eastAsia="宋体" w:cs="宋体"/>
          <w:b/>
          <w:bCs/>
          <w:sz w:val="28"/>
          <w:szCs w:val="28"/>
          <w:lang w:val="en-US" w:eastAsia="zh-CN"/>
        </w:rPr>
        <w:t xml:space="preserve">  </w:t>
      </w:r>
      <w:bookmarkEnd w:id="55"/>
      <w:r/>
      <w:r/>
    </w:p>
    <w:p>
      <w:pPr>
        <w:pStyle w:val="1089"/>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0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outlineLvl w:val="9"/>
              <w:suppressLineNumbers w:val="0"/>
            </w:p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outlineLvl w:val="9"/>
              <w:suppressLineNumbers w:val="0"/>
            </w:p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60" w:lineRule="exact"/>
              <w:widowControl w:val="off"/>
              <w:rPr>
                <w:rFonts w:hint="eastAsia" w:ascii="宋体" w:hAnsi="宋体" w:cs="宋体"/>
                <w:sz w:val="28"/>
                <w:szCs w:val="28"/>
                <w:lang w:val="en-US" w:eastAsia="zh-CN"/>
              </w:rPr>
              <w:outlineLvl w:val="9"/>
              <w:suppressLineNumbers w:val="0"/>
            </w:pPr>
            <w:r>
              <w:rPr>
                <w:rFonts w:hint="eastAsia" w:ascii="宋体" w:hAnsi="宋体" w:cs="宋体"/>
                <w:sz w:val="28"/>
                <w:szCs w:val="28"/>
                <w:lang w:val="en-US" w:eastAsia="zh-CN"/>
              </w:rPr>
              <w:t xml:space="preserve">企业报价折扣证明—《中小企业声明函》或者《残疾人福利性单位声明函》或者监狱企业证明文件。</w:t>
            </w:r>
            <w:r/>
          </w:p>
          <w:p>
            <w:pPr>
              <w:pStyle w:val="1090"/>
              <w:ind w:left="0" w:firstLine="0"/>
              <w:jc w:val="both"/>
              <w:pageBreakBefore w:val="0"/>
              <w:spacing w:line="360" w:lineRule="exact"/>
              <w:widowControl w:val="off"/>
              <w:rPr>
                <w:rFonts w:hint="eastAsia"/>
                <w:lang w:val="en-US" w:eastAsia="zh-CN"/>
              </w:rPr>
            </w:pPr>
            <w:r>
              <w:rPr>
                <w:rFonts w:hint="eastAsia" w:ascii="宋体" w:hAnsi="宋体" w:eastAsia="宋体" w:cs="宋体"/>
                <w:b/>
                <w:bCs/>
                <w:color w:val="333333"/>
                <w:spacing w:val="8"/>
                <w:sz w:val="28"/>
                <w:szCs w:val="28"/>
                <w:u w:val="single"/>
                <w:lang w:val="en-US" w:eastAsia="zh-CN" w:bidi="ar-SA"/>
              </w:rPr>
              <w:t xml:space="preserve">《关于符合本国产品标准的声明函》——本项目为服务类项目，无需提供。</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56" w:name="_Toc21548"/>
      <w:r/>
      <w:bookmarkStart w:id="57" w:name="_Toc9364"/>
      <w:r/>
      <w:bookmarkStart w:id="58" w:name="_Toc28025"/>
      <w:r/>
      <w:bookmarkStart w:id="59" w:name="_Toc7710"/>
      <w:r/>
      <w:bookmarkStart w:id="60" w:name="_Toc1714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090"/>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0"/>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07"/>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90"/>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16"/>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07"/>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07"/>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090"/>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w:t>
      </w:r>
      <w:r>
        <w:rPr>
          <w:rFonts w:hint="eastAsia" w:ascii="宋体" w:hAnsi="宋体" w:cs="宋体"/>
          <w:sz w:val="28"/>
          <w:szCs w:val="28"/>
          <w:lang w:val="en-US" w:eastAsia="zh-CN"/>
        </w:rPr>
        <w:t xml:space="preserve">第一人民医院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07"/>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07"/>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1107"/>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090"/>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0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07"/>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07"/>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07"/>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07"/>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07"/>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1107"/>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090"/>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0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090"/>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93"/>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07"/>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07"/>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1107"/>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90"/>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093"/>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96"/>
        <w:gridCol w:w="1924"/>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61" w:name="_Hlk72092651"/>
            <w:r>
              <w:rPr>
                <w:rFonts w:hint="eastAsia" w:ascii="宋体" w:hAnsi="宋体" w:eastAsia="宋体" w:cs="宋体"/>
                <w:sz w:val="28"/>
                <w:szCs w:val="28"/>
              </w:rPr>
              <w:t xml:space="preserve">序号</w:t>
            </w:r>
            <w:r/>
          </w:p>
        </w:tc>
        <w:tc>
          <w:tcPr>
            <w:tcW w:w="399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192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61"/>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996"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192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090"/>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62" w:name="_Ref493492102"/>
      <w:r/>
      <w:r/>
    </w:p>
    <w:p>
      <w:pPr>
        <w:pStyle w:val="1107"/>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07"/>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62"/>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bidi="ar-SA"/>
        </w:rPr>
        <w:t xml:space="preserve">常州市金坛第一人民医院：</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093"/>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0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07"/>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090"/>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0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07"/>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07"/>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07"/>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07"/>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0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0"/>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51"/>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07"/>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07"/>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0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0"/>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pStyle w:val="1090"/>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110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07"/>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0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7"/>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0"/>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07"/>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090"/>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28"/>
          <w:szCs w:val="28"/>
          <w:u w:val="single"/>
          <w:lang w:val="en-US" w:eastAsia="zh-CN"/>
        </w:rPr>
      </w:pPr>
      <w:r>
        <w:rPr>
          <w:rFonts w:hint="eastAsia" w:ascii="宋体" w:hAnsi="宋体" w:eastAsia="宋体" w:cs="宋体"/>
          <w:b/>
          <w:bCs/>
          <w:color w:val="333333"/>
          <w:spacing w:val="8"/>
          <w:sz w:val="28"/>
          <w:szCs w:val="28"/>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56"/>
      <w:r/>
      <w:bookmarkEnd w:id="57"/>
      <w:r/>
      <w:bookmarkEnd w:id="58"/>
      <w:r/>
      <w:bookmarkEnd w:id="59"/>
      <w:r/>
      <w:bookmarkEnd w:id="60"/>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0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firstLine="0"/>
      <w:rPr>
        <w:rFonts w:hint="eastAsia"/>
      </w:rPr>
    </w:pPr>
    <w:r>
      <w:rPr>
        <w:rFonts w:hint="eastAsia"/>
      </w:rPr>
    </w:r>
    <w:r/>
  </w:p>
  <w:p>
    <w:pPr>
      <w:pStyle w:val="1105"/>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Fonts w:hint="eastAsia"/>
      </w:rPr>
    </w:pPr>
    <w:r>
      <w:rPr>
        <w:rFonts w:hint="eastAsia"/>
      </w:rPr>
    </w:r>
    <w:r/>
  </w:p>
  <w:p>
    <w:pPr>
      <w:pStyle w:val="1105"/>
      <w:rPr>
        <w:rFonts w:hint="eastAsia"/>
      </w:rPr>
    </w:pPr>
    <w:r>
      <w:rPr>
        <w:rFonts w:hint="eastAsia"/>
      </w:rPr>
    </w:r>
    <w:r/>
  </w:p>
  <w:p>
    <w:pPr>
      <w:pStyle w:val="1105"/>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1">
    <w:name w:val="Heading 1 Char"/>
    <w:basedOn w:val="1092"/>
    <w:link w:val="1088"/>
    <w:uiPriority w:val="9"/>
    <w:rPr>
      <w:rFonts w:ascii="Arial" w:hAnsi="Arial" w:eastAsia="Arial" w:cs="Arial"/>
      <w:sz w:val="40"/>
      <w:szCs w:val="40"/>
    </w:rPr>
  </w:style>
  <w:style w:type="character" w:styleId="922">
    <w:name w:val="Heading 2 Char"/>
    <w:basedOn w:val="1092"/>
    <w:link w:val="1089"/>
    <w:uiPriority w:val="9"/>
    <w:rPr>
      <w:rFonts w:ascii="Arial" w:hAnsi="Arial" w:eastAsia="Arial" w:cs="Arial"/>
      <w:sz w:val="34"/>
    </w:rPr>
  </w:style>
  <w:style w:type="character" w:styleId="923">
    <w:name w:val="Heading 3 Char"/>
    <w:basedOn w:val="1092"/>
    <w:link w:val="1090"/>
    <w:uiPriority w:val="9"/>
    <w:rPr>
      <w:rFonts w:ascii="Arial" w:hAnsi="Arial" w:eastAsia="Arial" w:cs="Arial"/>
      <w:sz w:val="30"/>
      <w:szCs w:val="30"/>
    </w:rPr>
  </w:style>
  <w:style w:type="character" w:styleId="924">
    <w:name w:val="Heading 4 Char"/>
    <w:basedOn w:val="1092"/>
    <w:link w:val="1091"/>
    <w:uiPriority w:val="9"/>
    <w:rPr>
      <w:rFonts w:ascii="Arial" w:hAnsi="Arial" w:eastAsia="Arial" w:cs="Arial"/>
      <w:b/>
      <w:bCs/>
      <w:sz w:val="26"/>
      <w:szCs w:val="26"/>
    </w:rPr>
  </w:style>
  <w:style w:type="paragraph" w:styleId="925">
    <w:name w:val="Heading 5"/>
    <w:basedOn w:val="1087"/>
    <w:next w:val="1087"/>
    <w:link w:val="926"/>
    <w:uiPriority w:val="9"/>
    <w:unhideWhenUsed/>
    <w:qFormat/>
    <w:pPr>
      <w:keepLines/>
      <w:keepNext/>
      <w:spacing w:before="320" w:after="200"/>
      <w:outlineLvl w:val="4"/>
    </w:pPr>
    <w:rPr>
      <w:rFonts w:ascii="Arial" w:hAnsi="Arial" w:eastAsia="Arial" w:cs="Arial"/>
      <w:b/>
      <w:bCs/>
      <w:sz w:val="24"/>
      <w:szCs w:val="24"/>
    </w:rPr>
  </w:style>
  <w:style w:type="character" w:styleId="926">
    <w:name w:val="Heading 5 Char"/>
    <w:basedOn w:val="1092"/>
    <w:link w:val="925"/>
    <w:uiPriority w:val="9"/>
    <w:rPr>
      <w:rFonts w:ascii="Arial" w:hAnsi="Arial" w:eastAsia="Arial" w:cs="Arial"/>
      <w:b/>
      <w:bCs/>
      <w:sz w:val="24"/>
      <w:szCs w:val="24"/>
    </w:rPr>
  </w:style>
  <w:style w:type="paragraph" w:styleId="927">
    <w:name w:val="Heading 6"/>
    <w:basedOn w:val="1087"/>
    <w:next w:val="1087"/>
    <w:link w:val="928"/>
    <w:uiPriority w:val="9"/>
    <w:unhideWhenUsed/>
    <w:qFormat/>
    <w:pPr>
      <w:keepLines/>
      <w:keepNext/>
      <w:spacing w:before="320" w:after="200"/>
      <w:outlineLvl w:val="5"/>
    </w:pPr>
    <w:rPr>
      <w:rFonts w:ascii="Arial" w:hAnsi="Arial" w:eastAsia="Arial" w:cs="Arial"/>
      <w:b/>
      <w:bCs/>
      <w:sz w:val="22"/>
      <w:szCs w:val="22"/>
    </w:rPr>
  </w:style>
  <w:style w:type="character" w:styleId="928">
    <w:name w:val="Heading 6 Char"/>
    <w:basedOn w:val="1092"/>
    <w:link w:val="927"/>
    <w:uiPriority w:val="9"/>
    <w:rPr>
      <w:rFonts w:ascii="Arial" w:hAnsi="Arial" w:eastAsia="Arial" w:cs="Arial"/>
      <w:b/>
      <w:bCs/>
      <w:sz w:val="22"/>
      <w:szCs w:val="22"/>
    </w:rPr>
  </w:style>
  <w:style w:type="paragraph" w:styleId="929">
    <w:name w:val="Heading 7"/>
    <w:basedOn w:val="1087"/>
    <w:next w:val="1087"/>
    <w:link w:val="930"/>
    <w:uiPriority w:val="9"/>
    <w:unhideWhenUsed/>
    <w:qFormat/>
    <w:pPr>
      <w:keepLines/>
      <w:keepNext/>
      <w:spacing w:before="320" w:after="200"/>
      <w:outlineLvl w:val="6"/>
    </w:pPr>
    <w:rPr>
      <w:rFonts w:ascii="Arial" w:hAnsi="Arial" w:eastAsia="Arial" w:cs="Arial"/>
      <w:b/>
      <w:bCs/>
      <w:i/>
      <w:iCs/>
      <w:sz w:val="22"/>
      <w:szCs w:val="22"/>
    </w:rPr>
  </w:style>
  <w:style w:type="character" w:styleId="930">
    <w:name w:val="Heading 7 Char"/>
    <w:basedOn w:val="1092"/>
    <w:link w:val="929"/>
    <w:uiPriority w:val="9"/>
    <w:rPr>
      <w:rFonts w:ascii="Arial" w:hAnsi="Arial" w:eastAsia="Arial" w:cs="Arial"/>
      <w:b/>
      <w:bCs/>
      <w:i/>
      <w:iCs/>
      <w:sz w:val="22"/>
      <w:szCs w:val="22"/>
    </w:rPr>
  </w:style>
  <w:style w:type="paragraph" w:styleId="931">
    <w:name w:val="Heading 8"/>
    <w:basedOn w:val="1087"/>
    <w:next w:val="1087"/>
    <w:link w:val="932"/>
    <w:uiPriority w:val="9"/>
    <w:unhideWhenUsed/>
    <w:qFormat/>
    <w:pPr>
      <w:keepLines/>
      <w:keepNext/>
      <w:spacing w:before="320" w:after="200"/>
      <w:outlineLvl w:val="7"/>
    </w:pPr>
    <w:rPr>
      <w:rFonts w:ascii="Arial" w:hAnsi="Arial" w:eastAsia="Arial" w:cs="Arial"/>
      <w:i/>
      <w:iCs/>
      <w:sz w:val="22"/>
      <w:szCs w:val="22"/>
    </w:rPr>
  </w:style>
  <w:style w:type="character" w:styleId="932">
    <w:name w:val="Heading 8 Char"/>
    <w:basedOn w:val="1092"/>
    <w:link w:val="931"/>
    <w:uiPriority w:val="9"/>
    <w:rPr>
      <w:rFonts w:ascii="Arial" w:hAnsi="Arial" w:eastAsia="Arial" w:cs="Arial"/>
      <w:i/>
      <w:iCs/>
      <w:sz w:val="22"/>
      <w:szCs w:val="22"/>
    </w:rPr>
  </w:style>
  <w:style w:type="paragraph" w:styleId="933">
    <w:name w:val="Heading 9"/>
    <w:basedOn w:val="1087"/>
    <w:next w:val="1087"/>
    <w:link w:val="934"/>
    <w:uiPriority w:val="9"/>
    <w:unhideWhenUsed/>
    <w:qFormat/>
    <w:pPr>
      <w:keepLines/>
      <w:keepNext/>
      <w:spacing w:before="320" w:after="200"/>
      <w:outlineLvl w:val="8"/>
    </w:pPr>
    <w:rPr>
      <w:rFonts w:ascii="Arial" w:hAnsi="Arial" w:eastAsia="Arial" w:cs="Arial"/>
      <w:i/>
      <w:iCs/>
      <w:sz w:val="21"/>
      <w:szCs w:val="21"/>
    </w:rPr>
  </w:style>
  <w:style w:type="character" w:styleId="934">
    <w:name w:val="Heading 9 Char"/>
    <w:basedOn w:val="1092"/>
    <w:link w:val="933"/>
    <w:uiPriority w:val="9"/>
    <w:rPr>
      <w:rFonts w:ascii="Arial" w:hAnsi="Arial" w:eastAsia="Arial" w:cs="Arial"/>
      <w:i/>
      <w:iCs/>
      <w:sz w:val="21"/>
      <w:szCs w:val="21"/>
    </w:rPr>
  </w:style>
  <w:style w:type="paragraph" w:styleId="935">
    <w:name w:val="No Spacing"/>
    <w:uiPriority w:val="1"/>
    <w:qFormat/>
    <w:pPr>
      <w:spacing w:before="0" w:after="0" w:line="240" w:lineRule="auto"/>
    </w:pPr>
  </w:style>
  <w:style w:type="character" w:styleId="936">
    <w:name w:val="Title Char"/>
    <w:basedOn w:val="1092"/>
    <w:link w:val="1097"/>
    <w:uiPriority w:val="10"/>
    <w:rPr>
      <w:sz w:val="48"/>
      <w:szCs w:val="48"/>
    </w:rPr>
  </w:style>
  <w:style w:type="paragraph" w:styleId="937">
    <w:name w:val="Subtitle"/>
    <w:basedOn w:val="1087"/>
    <w:next w:val="1087"/>
    <w:link w:val="938"/>
    <w:uiPriority w:val="11"/>
    <w:qFormat/>
    <w:pPr>
      <w:spacing w:before="200" w:after="200"/>
    </w:pPr>
    <w:rPr>
      <w:sz w:val="24"/>
      <w:szCs w:val="24"/>
    </w:rPr>
  </w:style>
  <w:style w:type="character" w:styleId="938">
    <w:name w:val="Subtitle Char"/>
    <w:basedOn w:val="1092"/>
    <w:link w:val="937"/>
    <w:uiPriority w:val="11"/>
    <w:rPr>
      <w:sz w:val="24"/>
      <w:szCs w:val="24"/>
    </w:rPr>
  </w:style>
  <w:style w:type="character" w:styleId="939">
    <w:name w:val="Quote Char"/>
    <w:link w:val="1150"/>
    <w:uiPriority w:val="29"/>
    <w:rPr>
      <w:i/>
    </w:rPr>
  </w:style>
  <w:style w:type="paragraph" w:styleId="940">
    <w:name w:val="Intense Quote"/>
    <w:basedOn w:val="1087"/>
    <w:next w:val="1087"/>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name w:val="Intense Quote Char"/>
    <w:link w:val="940"/>
    <w:uiPriority w:val="30"/>
    <w:rPr>
      <w:i/>
    </w:rPr>
  </w:style>
  <w:style w:type="character" w:styleId="942">
    <w:name w:val="Header Char"/>
    <w:basedOn w:val="1092"/>
    <w:link w:val="1105"/>
    <w:uiPriority w:val="99"/>
  </w:style>
  <w:style w:type="character" w:styleId="943">
    <w:name w:val="Footer Char"/>
    <w:basedOn w:val="1092"/>
    <w:link w:val="1104"/>
    <w:uiPriority w:val="99"/>
  </w:style>
  <w:style w:type="paragraph" w:styleId="944">
    <w:name w:val="Caption"/>
    <w:basedOn w:val="1087"/>
    <w:next w:val="1087"/>
    <w:uiPriority w:val="35"/>
    <w:semiHidden/>
    <w:unhideWhenUsed/>
    <w:qFormat/>
    <w:pPr>
      <w:spacing w:line="276" w:lineRule="auto"/>
    </w:pPr>
    <w:rPr>
      <w:b/>
      <w:bCs/>
      <w:color w:val="4f81bd" w:themeColor="accent1"/>
      <w:sz w:val="18"/>
      <w:szCs w:val="18"/>
    </w:rPr>
  </w:style>
  <w:style w:type="character" w:styleId="945">
    <w:name w:val="Caption Char"/>
    <w:basedOn w:val="944"/>
    <w:link w:val="1104"/>
    <w:uiPriority w:val="99"/>
  </w:style>
  <w:style w:type="table" w:styleId="946">
    <w:name w:val="Table Grid Light"/>
    <w:basedOn w:val="10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7">
    <w:name w:val="Plain Table 1"/>
    <w:basedOn w:val="10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name w:val="Plain Table 2"/>
    <w:basedOn w:val="10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3"/>
    <w:basedOn w:val="10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name w:val="Plain Table 4"/>
    <w:basedOn w:val="10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name w:val="Plain Table 5"/>
    <w:basedOn w:val="10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2">
    <w:name w:val="Grid Table 1 Light"/>
    <w:basedOn w:val="10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3">
    <w:name w:val="Grid Table 1 Light - Accent 1"/>
    <w:basedOn w:val="10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4">
    <w:name w:val="Grid Table 1 Light - Accent 2"/>
    <w:basedOn w:val="10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5">
    <w:name w:val="Grid Table 1 Light - Accent 3"/>
    <w:basedOn w:val="10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6">
    <w:name w:val="Grid Table 1 Light - Accent 4"/>
    <w:basedOn w:val="10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7">
    <w:name w:val="Grid Table 1 Light - Accent 5"/>
    <w:basedOn w:val="10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8">
    <w:name w:val="Grid Table 1 Light - Accent 6"/>
    <w:basedOn w:val="10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9">
    <w:name w:val="Grid Table 2"/>
    <w:basedOn w:val="10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0">
    <w:name w:val="Grid Table 2 - Accent 1"/>
    <w:basedOn w:val="10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1">
    <w:name w:val="Grid Table 2 - Accent 2"/>
    <w:basedOn w:val="10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2 - Accent 3"/>
    <w:basedOn w:val="10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2 - Accent 4"/>
    <w:basedOn w:val="10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2 - Accent 5"/>
    <w:basedOn w:val="10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5">
    <w:name w:val="Grid Table 2 - Accent 6"/>
    <w:basedOn w:val="10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6">
    <w:name w:val="Grid Table 3"/>
    <w:basedOn w:val="10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1"/>
    <w:basedOn w:val="10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2"/>
    <w:basedOn w:val="10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3"/>
    <w:basedOn w:val="10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4"/>
    <w:basedOn w:val="10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5"/>
    <w:basedOn w:val="10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6"/>
    <w:basedOn w:val="10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4"/>
    <w:basedOn w:val="10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name w:val="Grid Table 4 - Accent 1"/>
    <w:basedOn w:val="10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5">
    <w:name w:val="Grid Table 4 - Accent 2"/>
    <w:basedOn w:val="10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6">
    <w:name w:val="Grid Table 4 - Accent 3"/>
    <w:basedOn w:val="10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7">
    <w:name w:val="Grid Table 4 - Accent 4"/>
    <w:basedOn w:val="10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8">
    <w:name w:val="Grid Table 4 - Accent 5"/>
    <w:basedOn w:val="10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9">
    <w:name w:val="Grid Table 4 - Accent 6"/>
    <w:basedOn w:val="10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0">
    <w:name w:val="Grid Table 5 Dark"/>
    <w:basedOn w:val="10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1">
    <w:name w:val="Grid Table 5 Dark- Accent 1"/>
    <w:basedOn w:val="10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2">
    <w:name w:val="Grid Table 5 Dark - Accent 2"/>
    <w:basedOn w:val="10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3">
    <w:name w:val="Grid Table 5 Dark - Accent 3"/>
    <w:basedOn w:val="10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4">
    <w:name w:val="Grid Table 5 Dark- Accent 4"/>
    <w:basedOn w:val="10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5">
    <w:name w:val="Grid Table 5 Dark - Accent 5"/>
    <w:basedOn w:val="10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6">
    <w:name w:val="Grid Table 5 Dark - Accent 6"/>
    <w:basedOn w:val="10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7">
    <w:name w:val="Grid Table 6 Colorful"/>
    <w:basedOn w:val="10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8">
    <w:name w:val="Grid Table 6 Colorful - Accent 1"/>
    <w:basedOn w:val="10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9">
    <w:name w:val="Grid Table 6 Colorful - Accent 2"/>
    <w:basedOn w:val="10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0">
    <w:name w:val="Grid Table 6 Colorful - Accent 3"/>
    <w:basedOn w:val="10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1">
    <w:name w:val="Grid Table 6 Colorful - Accent 4"/>
    <w:basedOn w:val="10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2">
    <w:name w:val="Grid Table 6 Colorful - Accent 5"/>
    <w:basedOn w:val="10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3">
    <w:name w:val="Grid Table 6 Colorful - Accent 6"/>
    <w:basedOn w:val="10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7 Colorful"/>
    <w:basedOn w:val="10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5">
    <w:name w:val="Grid Table 7 Colorful - Accent 1"/>
    <w:basedOn w:val="10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6">
    <w:name w:val="Grid Table 7 Colorful - Accent 2"/>
    <w:basedOn w:val="10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7">
    <w:name w:val="Grid Table 7 Colorful - Accent 3"/>
    <w:basedOn w:val="10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8">
    <w:name w:val="Grid Table 7 Colorful - Accent 4"/>
    <w:basedOn w:val="10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9">
    <w:name w:val="Grid Table 7 Colorful - Accent 5"/>
    <w:basedOn w:val="10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0">
    <w:name w:val="Grid Table 7 Colorful - Accent 6"/>
    <w:basedOn w:val="10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1">
    <w:name w:val="List Table 1 Light"/>
    <w:basedOn w:val="10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name w:val="List Table 1 Light - Accent 1"/>
    <w:basedOn w:val="10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3">
    <w:name w:val="List Table 1 Light - Accent 2"/>
    <w:basedOn w:val="10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4">
    <w:name w:val="List Table 1 Light - Accent 3"/>
    <w:basedOn w:val="10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5">
    <w:name w:val="List Table 1 Light - Accent 4"/>
    <w:basedOn w:val="10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6">
    <w:name w:val="List Table 1 Light - Accent 5"/>
    <w:basedOn w:val="10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7">
    <w:name w:val="List Table 1 Light - Accent 6"/>
    <w:basedOn w:val="10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8">
    <w:name w:val="List Table 2"/>
    <w:basedOn w:val="10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9">
    <w:name w:val="List Table 2 - Accent 1"/>
    <w:basedOn w:val="10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0">
    <w:name w:val="List Table 2 - Accent 2"/>
    <w:basedOn w:val="10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1">
    <w:name w:val="List Table 2 - Accent 3"/>
    <w:basedOn w:val="10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2">
    <w:name w:val="List Table 2 - Accent 4"/>
    <w:basedOn w:val="10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3">
    <w:name w:val="List Table 2 - Accent 5"/>
    <w:basedOn w:val="10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4">
    <w:name w:val="List Table 2 - Accent 6"/>
    <w:basedOn w:val="10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5">
    <w:name w:val="List Table 3"/>
    <w:basedOn w:val="10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3 - Accent 1"/>
    <w:basedOn w:val="10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7">
    <w:name w:val="List Table 3 - Accent 2"/>
    <w:basedOn w:val="10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8">
    <w:name w:val="List Table 3 - Accent 3"/>
    <w:basedOn w:val="10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9">
    <w:name w:val="List Table 3 - Accent 4"/>
    <w:basedOn w:val="10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0">
    <w:name w:val="List Table 3 - Accent 5"/>
    <w:basedOn w:val="10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1">
    <w:name w:val="List Table 3 - Accent 6"/>
    <w:basedOn w:val="10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2">
    <w:name w:val="List Table 4"/>
    <w:basedOn w:val="10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3">
    <w:name w:val="List Table 4 - Accent 1"/>
    <w:basedOn w:val="10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4">
    <w:name w:val="List Table 4 - Accent 2"/>
    <w:basedOn w:val="10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5">
    <w:name w:val="List Table 4 - Accent 3"/>
    <w:basedOn w:val="10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6">
    <w:name w:val="List Table 4 - Accent 4"/>
    <w:basedOn w:val="10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7">
    <w:name w:val="List Table 4 - Accent 5"/>
    <w:basedOn w:val="10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8">
    <w:name w:val="List Table 4 - Accent 6"/>
    <w:basedOn w:val="10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9">
    <w:name w:val="List Table 5 Dark"/>
    <w:basedOn w:val="10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1"/>
    <w:basedOn w:val="10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2"/>
    <w:basedOn w:val="10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3"/>
    <w:basedOn w:val="10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4"/>
    <w:basedOn w:val="10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5"/>
    <w:basedOn w:val="10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6"/>
    <w:basedOn w:val="10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6 Colorful"/>
    <w:basedOn w:val="10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7">
    <w:name w:val="List Table 6 Colorful - Accent 1"/>
    <w:basedOn w:val="10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8">
    <w:name w:val="List Table 6 Colorful - Accent 2"/>
    <w:basedOn w:val="10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9">
    <w:name w:val="List Table 6 Colorful - Accent 3"/>
    <w:basedOn w:val="10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0">
    <w:name w:val="List Table 6 Colorful - Accent 4"/>
    <w:basedOn w:val="10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1">
    <w:name w:val="List Table 6 Colorful - Accent 5"/>
    <w:basedOn w:val="10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2">
    <w:name w:val="List Table 6 Colorful - Accent 6"/>
    <w:basedOn w:val="10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3">
    <w:name w:val="List Table 7 Colorful"/>
    <w:basedOn w:val="10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4">
    <w:name w:val="List Table 7 Colorful - Accent 1"/>
    <w:basedOn w:val="10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5">
    <w:name w:val="List Table 7 Colorful - Accent 2"/>
    <w:basedOn w:val="10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6">
    <w:name w:val="List Table 7 Colorful - Accent 3"/>
    <w:basedOn w:val="10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7">
    <w:name w:val="List Table 7 Colorful - Accent 4"/>
    <w:basedOn w:val="10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8">
    <w:name w:val="List Table 7 Colorful - Accent 5"/>
    <w:basedOn w:val="10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9">
    <w:name w:val="List Table 7 Colorful - Accent 6"/>
    <w:basedOn w:val="10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0">
    <w:name w:val="Lined - Accent"/>
    <w:basedOn w:val="10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Lined - Accent 1"/>
    <w:basedOn w:val="10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2">
    <w:name w:val="Lined - Accent 2"/>
    <w:basedOn w:val="10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3">
    <w:name w:val="Lined - Accent 3"/>
    <w:basedOn w:val="10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4">
    <w:name w:val="Lined - Accent 4"/>
    <w:basedOn w:val="10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5">
    <w:name w:val="Lined - Accent 5"/>
    <w:basedOn w:val="10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6">
    <w:name w:val="Lined - Accent 6"/>
    <w:basedOn w:val="10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7">
    <w:name w:val="Bordered &amp; Lined - Accent"/>
    <w:basedOn w:val="10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8">
    <w:name w:val="Bordered &amp; Lined - Accent 1"/>
    <w:basedOn w:val="10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9">
    <w:name w:val="Bordered &amp; Lined - Accent 2"/>
    <w:basedOn w:val="10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0">
    <w:name w:val="Bordered &amp; Lined - Accent 3"/>
    <w:basedOn w:val="10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1">
    <w:name w:val="Bordered &amp; Lined - Accent 4"/>
    <w:basedOn w:val="10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2">
    <w:name w:val="Bordered &amp; Lined - Accent 5"/>
    <w:basedOn w:val="10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3">
    <w:name w:val="Bordered &amp; Lined - Accent 6"/>
    <w:basedOn w:val="10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4">
    <w:name w:val="Bordered"/>
    <w:basedOn w:val="10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5">
    <w:name w:val="Bordered - Accent 1"/>
    <w:basedOn w:val="10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6">
    <w:name w:val="Bordered - Accent 2"/>
    <w:basedOn w:val="10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7">
    <w:name w:val="Bordered - Accent 3"/>
    <w:basedOn w:val="10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8">
    <w:name w:val="Bordered - Accent 4"/>
    <w:basedOn w:val="10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9">
    <w:name w:val="Bordered - Accent 5"/>
    <w:basedOn w:val="10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0">
    <w:name w:val="Bordered - Accent 6"/>
    <w:basedOn w:val="10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1">
    <w:name w:val="footnote text"/>
    <w:basedOn w:val="1087"/>
    <w:link w:val="1072"/>
    <w:uiPriority w:val="99"/>
    <w:semiHidden/>
    <w:unhideWhenUsed/>
    <w:pPr>
      <w:spacing w:after="40" w:line="240" w:lineRule="auto"/>
    </w:pPr>
    <w:rPr>
      <w:sz w:val="18"/>
    </w:rPr>
  </w:style>
  <w:style w:type="character" w:styleId="1072">
    <w:name w:val="Footnote Text Char"/>
    <w:link w:val="1071"/>
    <w:uiPriority w:val="99"/>
    <w:rPr>
      <w:sz w:val="18"/>
    </w:rPr>
  </w:style>
  <w:style w:type="character" w:styleId="1073">
    <w:name w:val="footnote reference"/>
    <w:basedOn w:val="1092"/>
    <w:uiPriority w:val="99"/>
    <w:unhideWhenUsed/>
    <w:rPr>
      <w:vertAlign w:val="superscript"/>
    </w:rPr>
  </w:style>
  <w:style w:type="paragraph" w:styleId="1074">
    <w:name w:val="endnote text"/>
    <w:basedOn w:val="1087"/>
    <w:link w:val="1075"/>
    <w:uiPriority w:val="99"/>
    <w:semiHidden/>
    <w:unhideWhenUsed/>
    <w:pPr>
      <w:spacing w:after="0" w:line="240" w:lineRule="auto"/>
    </w:pPr>
    <w:rPr>
      <w:sz w:val="20"/>
    </w:rPr>
  </w:style>
  <w:style w:type="character" w:styleId="1075">
    <w:name w:val="Endnote Text Char"/>
    <w:link w:val="1074"/>
    <w:uiPriority w:val="99"/>
    <w:rPr>
      <w:sz w:val="20"/>
    </w:rPr>
  </w:style>
  <w:style w:type="character" w:styleId="1076">
    <w:name w:val="endnote reference"/>
    <w:basedOn w:val="1092"/>
    <w:uiPriority w:val="99"/>
    <w:semiHidden/>
    <w:unhideWhenUsed/>
    <w:rPr>
      <w:vertAlign w:val="superscript"/>
    </w:rPr>
  </w:style>
  <w:style w:type="paragraph" w:styleId="1077">
    <w:name w:val="toc 2"/>
    <w:basedOn w:val="1087"/>
    <w:next w:val="1087"/>
    <w:uiPriority w:val="39"/>
    <w:unhideWhenUsed/>
    <w:pPr>
      <w:ind w:left="283" w:right="0" w:firstLine="0"/>
      <w:spacing w:after="57"/>
    </w:pPr>
  </w:style>
  <w:style w:type="paragraph" w:styleId="1078">
    <w:name w:val="toc 3"/>
    <w:basedOn w:val="1087"/>
    <w:next w:val="1087"/>
    <w:uiPriority w:val="39"/>
    <w:unhideWhenUsed/>
    <w:pPr>
      <w:ind w:left="567" w:right="0" w:firstLine="0"/>
      <w:spacing w:after="57"/>
    </w:pPr>
  </w:style>
  <w:style w:type="paragraph" w:styleId="1079">
    <w:name w:val="toc 4"/>
    <w:basedOn w:val="1087"/>
    <w:next w:val="1087"/>
    <w:uiPriority w:val="39"/>
    <w:unhideWhenUsed/>
    <w:pPr>
      <w:ind w:left="850" w:right="0" w:firstLine="0"/>
      <w:spacing w:after="57"/>
    </w:pPr>
  </w:style>
  <w:style w:type="paragraph" w:styleId="1080">
    <w:name w:val="toc 5"/>
    <w:basedOn w:val="1087"/>
    <w:next w:val="1087"/>
    <w:uiPriority w:val="39"/>
    <w:unhideWhenUsed/>
    <w:pPr>
      <w:ind w:left="1134" w:right="0" w:firstLine="0"/>
      <w:spacing w:after="57"/>
    </w:pPr>
  </w:style>
  <w:style w:type="paragraph" w:styleId="1081">
    <w:name w:val="toc 6"/>
    <w:basedOn w:val="1087"/>
    <w:next w:val="1087"/>
    <w:uiPriority w:val="39"/>
    <w:unhideWhenUsed/>
    <w:pPr>
      <w:ind w:left="1417" w:right="0" w:firstLine="0"/>
      <w:spacing w:after="57"/>
    </w:pPr>
  </w:style>
  <w:style w:type="paragraph" w:styleId="1082">
    <w:name w:val="toc 7"/>
    <w:basedOn w:val="1087"/>
    <w:next w:val="1087"/>
    <w:uiPriority w:val="39"/>
    <w:unhideWhenUsed/>
    <w:pPr>
      <w:ind w:left="1701" w:right="0" w:firstLine="0"/>
      <w:spacing w:after="57"/>
    </w:pPr>
  </w:style>
  <w:style w:type="paragraph" w:styleId="1083">
    <w:name w:val="toc 8"/>
    <w:basedOn w:val="1087"/>
    <w:next w:val="1087"/>
    <w:uiPriority w:val="39"/>
    <w:unhideWhenUsed/>
    <w:pPr>
      <w:ind w:left="1984" w:right="0" w:firstLine="0"/>
      <w:spacing w:after="57"/>
    </w:pPr>
  </w:style>
  <w:style w:type="paragraph" w:styleId="1084">
    <w:name w:val="toc 9"/>
    <w:basedOn w:val="1087"/>
    <w:next w:val="1087"/>
    <w:uiPriority w:val="39"/>
    <w:unhideWhenUsed/>
    <w:pPr>
      <w:ind w:left="2268" w:right="0" w:firstLine="0"/>
      <w:spacing w:after="57"/>
    </w:pPr>
  </w:style>
  <w:style w:type="paragraph" w:styleId="1085">
    <w:name w:val="TOC Heading"/>
    <w:uiPriority w:val="39"/>
    <w:unhideWhenUsed/>
  </w:style>
  <w:style w:type="paragraph" w:styleId="1086">
    <w:name w:val="table of figures"/>
    <w:basedOn w:val="1087"/>
    <w:next w:val="1087"/>
    <w:uiPriority w:val="99"/>
    <w:unhideWhenUsed/>
    <w:pPr>
      <w:spacing w:after="0" w:afterAutospacing="0"/>
    </w:pPr>
  </w:style>
  <w:style w:type="paragraph" w:styleId="1087" w:default="1">
    <w:name w:val="Normal"/>
    <w:next w:val="1090"/>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88">
    <w:name w:val="Heading 1"/>
    <w:basedOn w:val="1087"/>
    <w:next w:val="1087"/>
    <w:link w:val="1115"/>
    <w:uiPriority w:val="9"/>
    <w:qFormat/>
    <w:pPr>
      <w:jc w:val="center"/>
      <w:keepNext/>
      <w:tabs>
        <w:tab w:val="left" w:pos="200" w:leader="none"/>
      </w:tabs>
      <w:outlineLvl w:val="0"/>
    </w:pPr>
    <w:rPr>
      <w:rFonts w:ascii="宋体" w:hAnsi="宋体" w:eastAsia="黑体" w:cs="Times New Roman"/>
      <w:b/>
      <w:sz w:val="84"/>
      <w:szCs w:val="20"/>
    </w:rPr>
  </w:style>
  <w:style w:type="paragraph" w:styleId="1089">
    <w:name w:val="Heading 2"/>
    <w:basedOn w:val="1090"/>
    <w:next w:val="1091"/>
    <w:link w:val="1118"/>
    <w:uiPriority w:val="9"/>
    <w:qFormat/>
    <w:pPr>
      <w:jc w:val="center"/>
      <w:keepNext/>
      <w:outlineLvl w:val="1"/>
    </w:pPr>
    <w:rPr>
      <w:rFonts w:ascii="Times New Roman" w:hAnsi="Times New Roman" w:eastAsia="黑体" w:cs="Times New Roman"/>
      <w:sz w:val="44"/>
      <w:szCs w:val="28"/>
    </w:rPr>
  </w:style>
  <w:style w:type="paragraph" w:styleId="1090">
    <w:name w:val="Heading 3"/>
    <w:basedOn w:val="1087"/>
    <w:next w:val="1087"/>
    <w:link w:val="1116"/>
    <w:uiPriority w:val="9"/>
    <w:qFormat/>
    <w:pPr>
      <w:jc w:val="center"/>
      <w:keepLines/>
      <w:keepNext/>
      <w:outlineLvl w:val="2"/>
    </w:pPr>
    <w:rPr>
      <w:rFonts w:ascii="Times New Roman" w:hAnsi="Times New Roman" w:eastAsia="黑体" w:cs="Times New Roman"/>
      <w:szCs w:val="32"/>
    </w:rPr>
  </w:style>
  <w:style w:type="paragraph" w:styleId="1091">
    <w:name w:val="Heading 4"/>
    <w:basedOn w:val="1087"/>
    <w:next w:val="1087"/>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092" w:default="1">
    <w:name w:val="Default Paragraph Font"/>
    <w:uiPriority w:val="0"/>
    <w:semiHidden/>
    <w:qFormat/>
  </w:style>
  <w:style w:type="table" w:styleId="1093"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94">
    <w:name w:val="table of authorities"/>
    <w:basedOn w:val="1087"/>
    <w:next w:val="1087"/>
    <w:uiPriority w:val="99"/>
    <w:qFormat/>
    <w:pPr>
      <w:ind w:left="420"/>
    </w:pPr>
    <w:rPr>
      <w:szCs w:val="20"/>
    </w:rPr>
  </w:style>
  <w:style w:type="paragraph" w:styleId="1095">
    <w:name w:val="Normal Indent"/>
    <w:basedOn w:val="1087"/>
    <w:next w:val="1096"/>
    <w:uiPriority w:val="0"/>
    <w:qFormat/>
    <w:pPr>
      <w:ind w:firstLine="420"/>
    </w:pPr>
    <w:rPr>
      <w:rFonts w:ascii="Calibri" w:hAnsi="Calibri" w:cs="Times New Roman"/>
      <w:sz w:val="24"/>
      <w:szCs w:val="20"/>
    </w:rPr>
  </w:style>
  <w:style w:type="paragraph" w:styleId="1096">
    <w:name w:val="Body Text"/>
    <w:basedOn w:val="1087"/>
    <w:next w:val="1097"/>
    <w:uiPriority w:val="0"/>
    <w:qFormat/>
    <w:rPr>
      <w:rFonts w:ascii="楷体_GB2312" w:hAnsi="Arial" w:eastAsia="楷体_GB2312" w:cs="Times New Roman"/>
      <w:sz w:val="28"/>
      <w:szCs w:val="20"/>
    </w:rPr>
  </w:style>
  <w:style w:type="paragraph" w:styleId="1097">
    <w:name w:val="Title"/>
    <w:basedOn w:val="1087"/>
    <w:next w:val="1087"/>
    <w:uiPriority w:val="99"/>
    <w:qFormat/>
    <w:pPr>
      <w:jc w:val="center"/>
      <w:spacing w:before="240" w:after="60"/>
      <w:outlineLvl w:val="0"/>
    </w:pPr>
    <w:rPr>
      <w:rFonts w:ascii="Cambria" w:hAnsi="Cambria" w:eastAsia="宋体"/>
      <w:b/>
      <w:bCs/>
      <w:sz w:val="32"/>
      <w:szCs w:val="32"/>
    </w:rPr>
  </w:style>
  <w:style w:type="paragraph" w:styleId="1098">
    <w:name w:val="annotation text"/>
    <w:basedOn w:val="1087"/>
    <w:uiPriority w:val="99"/>
    <w:qFormat/>
    <w:pPr>
      <w:jc w:val="left"/>
      <w:spacing w:line="280" w:lineRule="atLeast"/>
      <w:widowControl/>
      <w:tabs>
        <w:tab w:val="left" w:pos="1134" w:leader="none"/>
      </w:tabs>
    </w:pPr>
    <w:rPr>
      <w:rFonts w:eastAsia="PMingLiU"/>
      <w:sz w:val="24"/>
      <w:szCs w:val="20"/>
      <w:lang w:eastAsia="zh-TW"/>
    </w:rPr>
  </w:style>
  <w:style w:type="paragraph" w:styleId="1099">
    <w:name w:val="Body Text Indent"/>
    <w:basedOn w:val="1087"/>
    <w:uiPriority w:val="99"/>
    <w:qFormat/>
    <w:pPr>
      <w:ind w:left="960"/>
      <w:spacing w:line="700" w:lineRule="exact"/>
    </w:pPr>
    <w:rPr>
      <w:sz w:val="44"/>
    </w:rPr>
  </w:style>
  <w:style w:type="paragraph" w:styleId="1100">
    <w:name w:val="Block Text"/>
    <w:basedOn w:val="1087"/>
    <w:uiPriority w:val="0"/>
    <w:qFormat/>
    <w:pPr>
      <w:ind w:left="1440" w:right="1440"/>
      <w:spacing w:after="120"/>
    </w:pPr>
  </w:style>
  <w:style w:type="paragraph" w:styleId="1101">
    <w:name w:val="Plain Text"/>
    <w:basedOn w:val="1087"/>
    <w:uiPriority w:val="0"/>
    <w:qFormat/>
    <w:rPr>
      <w:rFonts w:ascii="宋体" w:hAnsi="Courier New" w:cs="Times New Roman"/>
      <w:sz w:val="20"/>
      <w:szCs w:val="20"/>
    </w:rPr>
  </w:style>
  <w:style w:type="paragraph" w:styleId="1102">
    <w:name w:val="Date"/>
    <w:basedOn w:val="1087"/>
    <w:next w:val="1087"/>
    <w:uiPriority w:val="0"/>
    <w:qFormat/>
    <w:rPr>
      <w:rFonts w:ascii="Times New Roman" w:hAnsi="Times New Roman"/>
      <w:szCs w:val="20"/>
    </w:rPr>
  </w:style>
  <w:style w:type="paragraph" w:styleId="1103">
    <w:name w:val="Body Text Indent 2"/>
    <w:basedOn w:val="1087"/>
    <w:uiPriority w:val="0"/>
    <w:qFormat/>
    <w:pPr>
      <w:ind w:firstLine="480"/>
      <w:spacing w:line="360" w:lineRule="exact"/>
    </w:pPr>
    <w:rPr>
      <w:rFonts w:ascii="宋体" w:hAnsi="宋体" w:cs="宋体"/>
      <w:sz w:val="24"/>
    </w:rPr>
  </w:style>
  <w:style w:type="paragraph" w:styleId="1104">
    <w:name w:val="Footer"/>
    <w:basedOn w:val="1087"/>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05">
    <w:name w:val="Header"/>
    <w:basedOn w:val="108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06">
    <w:name w:val="toc 1"/>
    <w:basedOn w:val="1087"/>
    <w:next w:val="1087"/>
    <w:uiPriority w:val="0"/>
    <w:qFormat/>
    <w:pPr>
      <w:spacing w:line="300" w:lineRule="exact"/>
    </w:pPr>
    <w:rPr>
      <w:rFonts w:ascii="宋体" w:hAnsi="宋体"/>
      <w:szCs w:val="21"/>
    </w:rPr>
  </w:style>
  <w:style w:type="paragraph" w:styleId="1107">
    <w:name w:val="Normal (Web)"/>
    <w:basedOn w:val="1087"/>
    <w:uiPriority w:val="99"/>
    <w:unhideWhenUsed/>
    <w:qFormat/>
    <w:pPr>
      <w:jc w:val="left"/>
      <w:spacing w:before="100" w:beforeAutospacing="1" w:after="100" w:afterAutospacing="1"/>
      <w:widowControl/>
    </w:pPr>
    <w:rPr>
      <w:rFonts w:ascii="宋体" w:hAnsi="宋体"/>
      <w:sz w:val="24"/>
    </w:rPr>
  </w:style>
  <w:style w:type="paragraph" w:styleId="1108">
    <w:name w:val="Body Text First Indent 2"/>
    <w:basedOn w:val="1087"/>
    <w:next w:val="1087"/>
    <w:uiPriority w:val="0"/>
    <w:qFormat/>
    <w:pPr>
      <w:ind w:left="420" w:firstLine="420"/>
      <w:spacing w:after="120" w:line="240" w:lineRule="auto"/>
    </w:pPr>
    <w:rPr>
      <w:sz w:val="21"/>
    </w:rPr>
  </w:style>
  <w:style w:type="table" w:styleId="1109">
    <w:name w:val="Table Grid"/>
    <w:basedOn w:val="1093"/>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0">
    <w:name w:val="Strong"/>
    <w:basedOn w:val="1092"/>
    <w:uiPriority w:val="0"/>
    <w:qFormat/>
    <w:rPr>
      <w:b/>
    </w:rPr>
  </w:style>
  <w:style w:type="character" w:styleId="1111">
    <w:name w:val="page number"/>
    <w:basedOn w:val="1092"/>
    <w:uiPriority w:val="0"/>
    <w:qFormat/>
    <w:rPr>
      <w:rFonts w:ascii="Times New Roman" w:hAnsi="Times New Roman" w:eastAsia="宋体" w:cs="Times New Roman"/>
    </w:rPr>
  </w:style>
  <w:style w:type="character" w:styleId="1112">
    <w:name w:val="FollowedHyperlink"/>
    <w:uiPriority w:val="0"/>
    <w:qFormat/>
    <w:rPr>
      <w:color w:val="333333"/>
      <w:u w:val="none"/>
    </w:rPr>
  </w:style>
  <w:style w:type="character" w:styleId="1113">
    <w:name w:val="Emphasis"/>
    <w:uiPriority w:val="0"/>
    <w:qFormat/>
    <w:rPr>
      <w:i/>
    </w:rPr>
  </w:style>
  <w:style w:type="character" w:styleId="1114">
    <w:name w:val="Hyperlink"/>
    <w:uiPriority w:val="99"/>
    <w:unhideWhenUsed/>
    <w:qFormat/>
    <w:rPr>
      <w:color w:val="333333"/>
      <w:u w:val="none"/>
    </w:rPr>
  </w:style>
  <w:style w:type="character" w:styleId="1115" w:customStyle="1">
    <w:name w:val="标题 1 Char"/>
    <w:link w:val="1088"/>
    <w:uiPriority w:val="9"/>
    <w:qFormat/>
    <w:rPr>
      <w:rFonts w:ascii="宋体" w:hAnsi="宋体" w:eastAsia="黑体" w:cs="Times New Roman"/>
      <w:b/>
      <w:sz w:val="84"/>
      <w:szCs w:val="20"/>
    </w:rPr>
  </w:style>
  <w:style w:type="character" w:styleId="1116" w:customStyle="1">
    <w:name w:val="标题 3 Char"/>
    <w:link w:val="1090"/>
    <w:uiPriority w:val="9"/>
    <w:qFormat/>
    <w:rPr>
      <w:rFonts w:ascii="Times New Roman" w:hAnsi="Times New Roman" w:eastAsia="黑体" w:cs="Times New Roman"/>
      <w:b/>
      <w:bCs/>
      <w:szCs w:val="32"/>
    </w:rPr>
  </w:style>
  <w:style w:type="paragraph" w:styleId="1117" w:customStyle="1">
    <w:name w:val="正文文本11"/>
    <w:basedOn w:val="1087"/>
    <w:next w:val="1087"/>
    <w:uiPriority w:val="0"/>
    <w:qFormat/>
    <w:rPr>
      <w:rFonts w:ascii="楷体_GB2312" w:hAnsi="Arial" w:eastAsia="楷体_GB2312" w:cs="Times New Roman"/>
      <w:sz w:val="28"/>
      <w:szCs w:val="20"/>
    </w:rPr>
  </w:style>
  <w:style w:type="character" w:styleId="1118" w:customStyle="1">
    <w:name w:val="标题 2 Char"/>
    <w:link w:val="1089"/>
    <w:uiPriority w:val="9"/>
    <w:qFormat/>
    <w:rPr>
      <w:rFonts w:ascii="Times New Roman" w:hAnsi="Times New Roman" w:eastAsia="黑体" w:cs="Times New Roman"/>
      <w:b/>
      <w:bCs/>
      <w:sz w:val="44"/>
      <w:szCs w:val="28"/>
    </w:rPr>
  </w:style>
  <w:style w:type="character" w:styleId="1119" w:customStyle="1">
    <w:name w:val="font11"/>
    <w:basedOn w:val="1092"/>
    <w:uiPriority w:val="0"/>
    <w:qFormat/>
    <w:rPr>
      <w:rFonts w:hint="eastAsia" w:ascii="宋体" w:hAnsi="宋体" w:eastAsia="宋体" w:cs="宋体"/>
      <w:color w:val="000000"/>
      <w:sz w:val="18"/>
      <w:szCs w:val="18"/>
      <w:u w:val="none"/>
    </w:rPr>
  </w:style>
  <w:style w:type="character" w:styleId="1120" w:customStyle="1">
    <w:name w:val="l-btn-left"/>
    <w:basedOn w:val="1092"/>
    <w:uiPriority w:val="0"/>
    <w:qFormat/>
  </w:style>
  <w:style w:type="character" w:styleId="1121" w:customStyle="1">
    <w:name w:val="font71"/>
    <w:uiPriority w:val="0"/>
    <w:qFormat/>
    <w:rPr>
      <w:rFonts w:hint="eastAsia" w:ascii="宋体" w:hAnsi="宋体" w:eastAsia="宋体" w:cs="宋体"/>
      <w:color w:val="000000"/>
      <w:sz w:val="22"/>
      <w:szCs w:val="22"/>
      <w:u w:val="none"/>
    </w:rPr>
  </w:style>
  <w:style w:type="character" w:styleId="1122" w:customStyle="1">
    <w:name w:val="font21"/>
    <w:basedOn w:val="1092"/>
    <w:uiPriority w:val="0"/>
    <w:qFormat/>
    <w:rPr>
      <w:rFonts w:hint="eastAsia" w:ascii="宋体" w:hAnsi="宋体" w:eastAsia="宋体" w:cs="宋体"/>
      <w:color w:val="000000"/>
      <w:sz w:val="18"/>
      <w:szCs w:val="18"/>
      <w:u w:val="none"/>
    </w:rPr>
  </w:style>
  <w:style w:type="character" w:styleId="1123" w:customStyle="1">
    <w:name w:val="font41"/>
    <w:uiPriority w:val="0"/>
    <w:qFormat/>
    <w:rPr>
      <w:rFonts w:hint="eastAsia" w:ascii="宋体" w:hAnsi="宋体" w:eastAsia="宋体" w:cs="宋体"/>
      <w:b/>
      <w:color w:val="000000"/>
      <w:sz w:val="24"/>
      <w:szCs w:val="24"/>
      <w:u w:val="none"/>
    </w:rPr>
  </w:style>
  <w:style w:type="character" w:styleId="1124" w:customStyle="1">
    <w:name w:val="current"/>
    <w:basedOn w:val="1092"/>
    <w:uiPriority w:val="0"/>
    <w:qFormat/>
    <w:rPr>
      <w:b/>
      <w:color w:val="05a7d8"/>
      <w:sz w:val="14"/>
      <w:szCs w:val="14"/>
    </w:rPr>
  </w:style>
  <w:style w:type="character" w:styleId="1125" w:customStyle="1">
    <w:name w:val="l-btn-text36"/>
    <w:basedOn w:val="1092"/>
    <w:uiPriority w:val="0"/>
    <w:qFormat/>
  </w:style>
  <w:style w:type="character" w:styleId="1126" w:customStyle="1">
    <w:name w:val="tree-title3"/>
    <w:basedOn w:val="1092"/>
    <w:uiPriority w:val="0"/>
    <w:qFormat/>
  </w:style>
  <w:style w:type="character" w:styleId="1127" w:customStyle="1">
    <w:name w:val="font31"/>
    <w:basedOn w:val="1092"/>
    <w:uiPriority w:val="0"/>
    <w:qFormat/>
    <w:rPr>
      <w:rFonts w:hint="default" w:ascii="Arial Narrow" w:hAnsi="Arial Narrow" w:eastAsia="Arial Narrow" w:cs="Arial Narrow"/>
      <w:color w:val="000000"/>
      <w:sz w:val="18"/>
      <w:szCs w:val="18"/>
      <w:u w:val="none"/>
    </w:rPr>
  </w:style>
  <w:style w:type="paragraph" w:styleId="1128" w:customStyle="1">
    <w:name w:val="正文字缩2字"/>
    <w:basedOn w:val="1087"/>
    <w:uiPriority w:val="0"/>
    <w:qFormat/>
    <w:pPr>
      <w:ind w:left="200" w:firstLine="200"/>
      <w:jc w:val="both"/>
      <w:spacing w:before="60" w:after="60" w:line="360" w:lineRule="auto"/>
    </w:pPr>
    <w:rPr>
      <w:szCs w:val="24"/>
    </w:rPr>
  </w:style>
  <w:style w:type="paragraph" w:styleId="1129">
    <w:name w:val="List Paragraph"/>
    <w:basedOn w:val="1087"/>
    <w:uiPriority w:val="99"/>
    <w:qFormat/>
    <w:pPr>
      <w:ind w:firstLine="420"/>
    </w:pPr>
    <w:rPr>
      <w:rFonts w:ascii="Calibri" w:hAnsi="Calibri" w:cs="Times New Roman"/>
      <w:sz w:val="21"/>
      <w:szCs w:val="22"/>
    </w:rPr>
  </w:style>
  <w:style w:type="paragraph" w:styleId="1130"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31" w:customStyle="1">
    <w:name w:val="图例"/>
    <w:basedOn w:val="1087"/>
    <w:uiPriority w:val="0"/>
    <w:qFormat/>
    <w:pPr>
      <w:jc w:val="center"/>
      <w:spacing w:before="120" w:after="120" w:line="360" w:lineRule="auto"/>
    </w:pPr>
    <w:rPr>
      <w:rFonts w:eastAsia="仿宋_GB2312"/>
      <w:b/>
      <w:sz w:val="24"/>
      <w:szCs w:val="20"/>
    </w:rPr>
  </w:style>
  <w:style w:type="paragraph" w:styleId="1132" w:customStyle="1">
    <w:name w:val="样式 标题 4 + 段前: 5 磅 段后: 5 磅 行距: 单倍行距"/>
    <w:basedOn w:val="1091"/>
    <w:uiPriority w:val="0"/>
    <w:qFormat/>
    <w:pPr>
      <w:spacing w:before="100" w:after="100" w:line="240" w:lineRule="auto"/>
    </w:pPr>
    <w:rPr>
      <w:rFonts w:cs="宋体"/>
      <w:szCs w:val="20"/>
    </w:rPr>
  </w:style>
  <w:style w:type="paragraph" w:styleId="1133"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34" w:customStyle="1">
    <w:name w:val="纯文本1"/>
    <w:basedOn w:val="1087"/>
    <w:uiPriority w:val="0"/>
    <w:qFormat/>
    <w:rPr>
      <w:rFonts w:ascii="宋体" w:hAnsi="Courier New" w:eastAsia="楷体_GB2312"/>
      <w:sz w:val="26"/>
    </w:rPr>
  </w:style>
  <w:style w:type="paragraph" w:styleId="1135" w:customStyle="1">
    <w:name w:val="WPSOffice手动目录 1"/>
    <w:uiPriority w:val="0"/>
    <w:qFormat/>
    <w:rPr>
      <w:rFonts w:ascii="Times New Roman" w:hAnsi="Times New Roman" w:eastAsia="宋体" w:cs="Times New Roman"/>
      <w:sz w:val="20"/>
      <w:szCs w:val="20"/>
    </w:rPr>
  </w:style>
  <w:style w:type="paragraph" w:styleId="1136" w:customStyle="1">
    <w:name w:val="Í¼±íÕýÎÄ"/>
    <w:basedOn w:val="1087"/>
    <w:next w:val="1095"/>
    <w:uiPriority w:val="0"/>
    <w:qFormat/>
    <w:pPr>
      <w:ind w:firstLine="420"/>
    </w:pPr>
    <w:rPr>
      <w:rFonts w:ascii="Times New Roman" w:hAnsi="Times New Roman" w:cs="Times New Roman"/>
      <w:sz w:val="24"/>
      <w:szCs w:val="20"/>
    </w:rPr>
  </w:style>
  <w:style w:type="paragraph" w:styleId="1137" w:customStyle="1">
    <w:name w:val="Plain Text"/>
    <w:basedOn w:val="1087"/>
    <w:uiPriority w:val="0"/>
    <w:qFormat/>
    <w:rPr>
      <w:rFonts w:ascii="宋体" w:hAnsi="Courier New" w:eastAsia="楷体_GB2312" w:cs="Times New Roman"/>
      <w:sz w:val="28"/>
      <w:szCs w:val="20"/>
    </w:rPr>
  </w:style>
  <w:style w:type="paragraph" w:styleId="1138" w:customStyle="1">
    <w:name w:val="TOC Heading1"/>
    <w:basedOn w:val="1088"/>
    <w:next w:val="1087"/>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39" w:customStyle="1">
    <w:name w:val="表格标题"/>
    <w:basedOn w:val="1087"/>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40" w:customStyle="1">
    <w:name w:val="Í¼¡À¡¡¡¡ì¬ªÕýÎÄ"/>
    <w:basedOn w:val="1087"/>
    <w:next w:val="1095"/>
    <w:uiPriority w:val="99"/>
    <w:qFormat/>
    <w:pPr>
      <w:ind w:firstLine="420"/>
    </w:pPr>
    <w:rPr>
      <w:rFonts w:ascii="Times New Roman" w:hAnsi="Times New Roman" w:cs="Times New Roman"/>
      <w:sz w:val="24"/>
      <w:szCs w:val="20"/>
    </w:rPr>
  </w:style>
  <w:style w:type="paragraph" w:styleId="1141" w:customStyle="1">
    <w:name w:val="目录 11"/>
    <w:basedOn w:val="1087"/>
    <w:next w:val="1087"/>
    <w:uiPriority w:val="39"/>
    <w:unhideWhenUsed/>
    <w:qFormat/>
    <w:pPr>
      <w:jc w:val="left"/>
      <w:spacing w:after="100" w:line="259" w:lineRule="auto"/>
      <w:widowControl/>
    </w:pPr>
    <w:rPr>
      <w:rFonts w:ascii="Calibri" w:hAnsi="Calibri" w:eastAsia="宋体"/>
      <w:sz w:val="22"/>
      <w:szCs w:val="22"/>
    </w:rPr>
  </w:style>
  <w:style w:type="paragraph" w:styleId="1142" w:customStyle="1">
    <w:name w:val="列出段落1"/>
    <w:basedOn w:val="1087"/>
    <w:uiPriority w:val="0"/>
    <w:qFormat/>
    <w:pPr>
      <w:ind w:firstLine="420"/>
    </w:pPr>
    <w:rPr>
      <w:color w:val="595959"/>
    </w:rPr>
  </w:style>
  <w:style w:type="paragraph" w:styleId="1143" w:customStyle="1">
    <w:name w:val=" Char1"/>
    <w:basedOn w:val="1087"/>
    <w:uiPriority w:val="0"/>
    <w:qFormat/>
    <w:pPr>
      <w:ind w:left="432" w:hanging="432"/>
      <w:tabs>
        <w:tab w:val="left" w:pos="432" w:leader="none"/>
      </w:tabs>
    </w:pPr>
    <w:rPr>
      <w:rFonts w:ascii="仿宋_GB2312" w:hAnsi="Tahoma" w:eastAsia="仿宋_GB2312"/>
      <w:color w:val="000000"/>
      <w:sz w:val="30"/>
      <w:szCs w:val="30"/>
    </w:rPr>
  </w:style>
  <w:style w:type="paragraph" w:styleId="1144" w:customStyle="1">
    <w:name w:val="样式1"/>
    <w:basedOn w:val="1087"/>
    <w:uiPriority w:val="0"/>
    <w:qFormat/>
    <w:pPr>
      <w:numPr>
        <w:ilvl w:val="0"/>
        <w:numId w:val="1"/>
      </w:numPr>
      <w:jc w:val="both"/>
      <w:spacing w:line="240" w:lineRule="auto"/>
    </w:pPr>
    <w:rPr>
      <w:rFonts w:ascii="宋体" w:hAnsi="宋体"/>
      <w:sz w:val="21"/>
      <w:szCs w:val="21"/>
    </w:rPr>
  </w:style>
  <w:style w:type="paragraph" w:styleId="1145" w:customStyle="1">
    <w:name w:val="Í¼¡À¡¡¡¡¡¡¨¬¬¬ªÕýÎÄ"/>
    <w:basedOn w:val="1087"/>
    <w:next w:val="1095"/>
    <w:uiPriority w:val="99"/>
    <w:qFormat/>
    <w:pPr>
      <w:ind w:firstLine="420"/>
    </w:pPr>
    <w:rPr>
      <w:rFonts w:ascii="Times New Roman" w:hAnsi="Times New Roman"/>
      <w:sz w:val="24"/>
      <w:szCs w:val="20"/>
    </w:rPr>
  </w:style>
  <w:style w:type="paragraph" w:styleId="1146" w:customStyle="1">
    <w:name w:val="段标题"/>
    <w:basedOn w:val="1087"/>
    <w:next w:val="1095"/>
    <w:uiPriority w:val="0"/>
    <w:qFormat/>
    <w:pPr>
      <w:jc w:val="left"/>
    </w:pPr>
    <w:rPr>
      <w:rFonts w:ascii="黑体" w:hAnsi="宋体" w:eastAsia="黑体"/>
    </w:rPr>
  </w:style>
  <w:style w:type="paragraph" w:styleId="1147" w:customStyle="1">
    <w:name w:val="样式 标题 1 + 宋体 居中 段前: 17 磅 段后: 16.5 磅"/>
    <w:basedOn w:val="1088"/>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48" w:customStyle="1">
    <w:name w:val="列出段落2"/>
    <w:basedOn w:val="1087"/>
    <w:uiPriority w:val="0"/>
    <w:qFormat/>
    <w:pPr>
      <w:ind w:firstLine="420"/>
    </w:pPr>
  </w:style>
  <w:style w:type="table" w:styleId="1149" w:customStyle="1">
    <w:name w:val="网格型1"/>
    <w:basedOn w:val="1093"/>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0">
    <w:name w:val="Quote"/>
    <w:next w:val="1087"/>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51" w:customStyle="1">
    <w:name w:val="普通(网站)11"/>
    <w:basedOn w:val="1087"/>
    <w:uiPriority w:val="99"/>
    <w:unhideWhenUsed/>
    <w:qFormat/>
    <w:pPr>
      <w:jc w:val="left"/>
      <w:spacing w:before="100" w:beforeAutospacing="1" w:after="100" w:afterAutospacing="1"/>
      <w:widowControl/>
    </w:pPr>
    <w:rPr>
      <w:rFonts w:ascii="宋体" w:hAnsi="宋体"/>
      <w:sz w:val="24"/>
    </w:rPr>
  </w:style>
  <w:style w:type="table" w:styleId="1152" w:customStyle="1">
    <w:name w:val="Table Normal"/>
    <w:uiPriority w:val="0"/>
    <w:semiHidden/>
    <w:unhideWhenUsed/>
    <w:qFormat/>
    <w:tblPr>
      <w:tblCellMar>
        <w:left w:w="0" w:type="dxa"/>
        <w:top w:w="0" w:type="dxa"/>
        <w:right w:w="0" w:type="dxa"/>
        <w:bottom w:w="0" w:type="dxa"/>
      </w:tblCellMar>
    </w:tbl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 Id="rId27" Type="http://schemas.openxmlformats.org/officeDocument/2006/relationships/image" Target="media/image1.png"/><Relationship Id="rId28" Type="http://schemas.openxmlformats.org/officeDocument/2006/relationships/image" Target="media/image2.png"/><Relationship Id="rId29"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21</cp:revision>
  <dcterms:created xsi:type="dcterms:W3CDTF">2014-10-29T12:08:00Z</dcterms:created>
  <dcterms:modified xsi:type="dcterms:W3CDTF">2026-05-19T07:36:35Z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